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Calibri" w:cs="Times New Roman"/>
        </w:rPr>
        <w:t>﻿</w:t>
      </w:r>
      <w:r>
        <w:rPr>
          <w:rFonts w:ascii="Times New Roman" w:hAnsi="Calibri" w:cs="Times New Roman"/>
          <w:sz w:val="28"/>
          <w:szCs w:val="28"/>
        </w:rPr>
        <w:t>山东新和成药业有限公司</w:t>
      </w:r>
    </w:p>
    <w:p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2</w:t>
      </w:r>
      <w:r>
        <w:rPr>
          <w:rFonts w:ascii="Times New Roman" w:hAnsi="Calibri" w:cs="Times New Roman"/>
          <w:sz w:val="28"/>
          <w:szCs w:val="28"/>
        </w:rPr>
        <w:t>年第</w:t>
      </w:r>
      <w:r>
        <w:rPr>
          <w:rFonts w:hint="eastAsia" w:ascii="Times New Roman" w:hAnsi="Calibri" w:cs="Times New Roman"/>
          <w:sz w:val="28"/>
          <w:szCs w:val="28"/>
          <w:lang w:val="en-US" w:eastAsia="zh-CN"/>
        </w:rPr>
        <w:t>四</w:t>
      </w:r>
      <w:r>
        <w:rPr>
          <w:rFonts w:ascii="Times New Roman" w:hAnsi="Calibri" w:cs="Times New Roman"/>
          <w:sz w:val="28"/>
          <w:szCs w:val="28"/>
        </w:rPr>
        <w:t>季度环境信息公开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Calibri" w:cs="Times New Roman"/>
        </w:rPr>
        <w:t>一、企业基础信息</w:t>
      </w:r>
    </w:p>
    <w:tbl>
      <w:tblPr>
        <w:tblStyle w:val="16"/>
        <w:tblW w:w="932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373"/>
        <w:gridCol w:w="1888"/>
        <w:gridCol w:w="293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单位名称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山东新和成药业有限公司</w:t>
            </w:r>
          </w:p>
        </w:tc>
        <w:tc>
          <w:tcPr>
            <w:tcW w:w="18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统一社会信用代码</w:t>
            </w:r>
          </w:p>
        </w:tc>
        <w:tc>
          <w:tcPr>
            <w:tcW w:w="293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91370700665726586C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生产地址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潍坊市滨海经济技术开发区香江西二街01999号</w:t>
            </w:r>
          </w:p>
        </w:tc>
        <w:tc>
          <w:tcPr>
            <w:tcW w:w="18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地理位置</w:t>
            </w:r>
          </w:p>
        </w:tc>
        <w:tc>
          <w:tcPr>
            <w:tcW w:w="293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东经 119°7′47″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北纬 37°0′52″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法定代表人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吕国锋</w:t>
            </w:r>
          </w:p>
        </w:tc>
        <w:tc>
          <w:tcPr>
            <w:tcW w:w="18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邮政编码</w:t>
            </w:r>
          </w:p>
        </w:tc>
        <w:tc>
          <w:tcPr>
            <w:tcW w:w="293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261108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环保联系人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李庆辉</w:t>
            </w:r>
          </w:p>
        </w:tc>
        <w:tc>
          <w:tcPr>
            <w:tcW w:w="18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联系电话</w:t>
            </w:r>
          </w:p>
        </w:tc>
        <w:tc>
          <w:tcPr>
            <w:tcW w:w="293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0536-7038802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行业类别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香料、香精制造</w:t>
            </w:r>
          </w:p>
        </w:tc>
        <w:tc>
          <w:tcPr>
            <w:tcW w:w="18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电子邮箱</w:t>
            </w:r>
          </w:p>
        </w:tc>
        <w:tc>
          <w:tcPr>
            <w:tcW w:w="293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sd.hbb@cnhu.com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生产周期</w:t>
            </w:r>
          </w:p>
        </w:tc>
        <w:tc>
          <w:tcPr>
            <w:tcW w:w="2373" w:type="dxa"/>
            <w:vAlign w:val="center"/>
          </w:tcPr>
          <w:p>
            <w:pPr>
              <w:tabs>
                <w:tab w:val="left" w:pos="10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0天/年</w:t>
            </w:r>
          </w:p>
        </w:tc>
        <w:tc>
          <w:tcPr>
            <w:tcW w:w="18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委托监测机构</w:t>
            </w:r>
          </w:p>
        </w:tc>
        <w:tc>
          <w:tcPr>
            <w:tcW w:w="293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青岛市华测检测技术有限公司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主要产品及规模</w:t>
            </w:r>
          </w:p>
        </w:tc>
        <w:tc>
          <w:tcPr>
            <w:tcW w:w="7192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主要产品：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000 t/a柠檬醛、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000t/a芳樟醇、3000t/a香茅醇、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3000t/a香叶醇、1500t/a橙花醇等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单位简介</w:t>
            </w:r>
          </w:p>
        </w:tc>
        <w:tc>
          <w:tcPr>
            <w:tcW w:w="7192" w:type="dxa"/>
            <w:gridSpan w:val="3"/>
            <w:vAlign w:val="center"/>
          </w:tcPr>
          <w:p>
            <w:pPr>
              <w:ind w:firstLine="360" w:firstLineChars="20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山东新和成药业有限公司由浙江新和成股份有限公司投资建设，从事香精香料的生产和销售。公司成立于2007年8月，占地1200亩。荣获“国家高新技术企业”、“单项制造业冠军产品”、“中国轻工业行业香料十强企业”第一名、“中国香料香精化妆品行业领军企业”、“山东省质量奖”、“山东省精细化工十强企业”、“潍坊市环境友好企业”等称号，2018年获批国家级博士后科研工作站。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cs="Times New Roman"/>
        </w:rPr>
        <w:t>二、企业</w:t>
      </w:r>
      <w:r>
        <w:rPr>
          <w:rFonts w:ascii="Times New Roman" w:hAnsi="Times New Roman" w:cs="Times New Roman"/>
        </w:rPr>
        <w:t>202</w:t>
      </w:r>
      <w:r>
        <w:rPr>
          <w:rFonts w:hint="eastAsia" w:ascii="Times New Roman" w:hAnsi="Times New Roman" w:cs="Times New Roman"/>
          <w:lang w:val="en-US" w:eastAsia="zh-CN"/>
        </w:rPr>
        <w:t>2</w:t>
      </w:r>
      <w:r>
        <w:rPr>
          <w:rFonts w:ascii="Times New Roman" w:cs="Times New Roman"/>
        </w:rPr>
        <w:t>年环境监测方案</w:t>
      </w:r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cs="Times New Roman"/>
        </w:rPr>
        <w:t>企业采用连续在线自动监测与自行监测相结合的监测手段。</w:t>
      </w:r>
    </w:p>
    <w:tbl>
      <w:tblPr>
        <w:tblStyle w:val="23"/>
        <w:tblW w:w="497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4"/>
        <w:gridCol w:w="2170"/>
        <w:gridCol w:w="3515"/>
        <w:gridCol w:w="24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tcBorders>
              <w:top w:val="double" w:color="auto" w:sz="4" w:space="0"/>
            </w:tcBorders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项目</w:t>
            </w:r>
          </w:p>
        </w:tc>
        <w:tc>
          <w:tcPr>
            <w:tcW w:w="1191" w:type="pct"/>
            <w:tcBorders>
              <w:top w:val="double" w:color="auto" w:sz="4" w:space="0"/>
            </w:tcBorders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监测地点</w:t>
            </w:r>
          </w:p>
        </w:tc>
        <w:tc>
          <w:tcPr>
            <w:tcW w:w="1929" w:type="pct"/>
            <w:tcBorders>
              <w:top w:val="double" w:color="auto" w:sz="4" w:space="0"/>
            </w:tcBorders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监测内容</w:t>
            </w:r>
          </w:p>
        </w:tc>
        <w:tc>
          <w:tcPr>
            <w:tcW w:w="1371" w:type="pct"/>
            <w:tcBorders>
              <w:top w:val="double" w:color="auto" w:sz="4" w:space="0"/>
            </w:tcBorders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监测频率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restar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废气</w:t>
            </w:r>
          </w:p>
        </w:tc>
        <w:tc>
          <w:tcPr>
            <w:tcW w:w="1191" w:type="pct"/>
            <w:vMerge w:val="restar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RTO排气筒</w:t>
            </w: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挥发性有机物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固定源VOCs在线自动监测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氮氧化物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、硫化氢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月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二氧化硫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、颗粒物、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自行监测每季度一次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丙酮、甲醇、甲醛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、甲苯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、酚类、苯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系物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、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臭气浓度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氨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丙烯醛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半年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restar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一期、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二期气液焚烧炉排气筒</w:t>
            </w: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颗粒物、二氧化硫、氮氧化物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、一氧化碳、氯化氢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烟气CEMS在线自动监测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挥发性有机物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、锡、锑、铜、锰、镍、钴及其化合物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自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月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焚烧炉渣热灼减率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自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季度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氟化氢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臭气浓度、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氨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、硫化氢、酚类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甲醇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、苯系物、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丙酮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二噁英类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半年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乙炔排气筒</w:t>
            </w: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颗粒物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自行监测每季度一次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restar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1#导热油炉排气筒</w:t>
            </w: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氮氧化物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自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月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颗粒物、二氧化硫、烟气黑度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年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restar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2#导热油炉排气筒</w:t>
            </w: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氮氧化物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自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月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颗粒物、二氧化硫、烟气黑度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年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药业厂界无组织废气</w:t>
            </w: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氯化氢、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挥发性有机物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、甲醇、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苯系物、甲苯、丙烯醛、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甲醛、硫化氢、氨、酚类、臭气浓度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自行监测每季度一次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restar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废水</w:t>
            </w:r>
          </w:p>
        </w:tc>
        <w:tc>
          <w:tcPr>
            <w:tcW w:w="1191" w:type="pct"/>
            <w:vMerge w:val="restar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药业污水总排口</w:t>
            </w: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hint="eastAsia" w:ascii="Times New Roman" w:hAnsi="Times New Roman" w:eastAsia="宋体" w:cs="Times New Roman"/>
                <w:snapToGrid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PH、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化学需氧量、氨氮、总磷、总氮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在线自动监测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hint="default" w:ascii="Times New Roman" w:hAnsi="Times New Roman" w:eastAsia="宋体" w:cs="Times New Roman"/>
                <w:snapToGrid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五日生化需氧量</w:t>
            </w:r>
            <w:r>
              <w:rPr>
                <w:rFonts w:ascii="Times New Roman" w:hAnsi="Times New Roman" w:eastAsia="宋体" w:cs="Times New Roman"/>
                <w:snapToGrid/>
                <w:color w:val="000000"/>
                <w:sz w:val="18"/>
                <w:szCs w:val="18"/>
                <w:highlight w:val="none"/>
              </w:rPr>
              <w:t>（BOD</w:t>
            </w:r>
            <w:r>
              <w:rPr>
                <w:rFonts w:ascii="Times New Roman" w:hAnsi="Times New Roman" w:eastAsia="宋体" w:cs="Times New Roman"/>
                <w:snapToGrid/>
                <w:color w:val="000000"/>
                <w:sz w:val="18"/>
                <w:szCs w:val="18"/>
                <w:highlight w:val="none"/>
                <w:vertAlign w:val="subscript"/>
              </w:rPr>
              <w:t>5</w:t>
            </w:r>
            <w:r>
              <w:rPr>
                <w:rFonts w:ascii="Times New Roman" w:hAnsi="Times New Roman" w:eastAsia="宋体" w:cs="Times New Roman"/>
                <w:snapToGrid/>
                <w:color w:val="000000"/>
                <w:sz w:val="18"/>
                <w:szCs w:val="18"/>
                <w:highlight w:val="none"/>
              </w:rPr>
              <w:t>）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、悬浮物、石油类、氟化物、全盐量、挥发酚、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色度、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硫酸盐、铜、镍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、可吸附有机卤化物、甲苯、甲醛、氯化物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粪大肠菌群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总有机碳、苯酚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自行监测每季度一次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restar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地下水</w:t>
            </w:r>
          </w:p>
        </w:tc>
        <w:tc>
          <w:tcPr>
            <w:tcW w:w="1191" w:type="pct"/>
            <w:vMerge w:val="restar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厂内观察井</w:t>
            </w: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hint="default" w:ascii="Times New Roman" w:hAnsi="Times New Roman" w:eastAsia="宋体" w:cs="Times New Roman"/>
                <w:snapToGrid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化学需氧量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石油类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铜、PH值、氨氮、硫化物、氟化物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自行监测每季度一次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地下水37项常规指标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年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一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噪声</w:t>
            </w:r>
          </w:p>
        </w:tc>
        <w:tc>
          <w:tcPr>
            <w:tcW w:w="119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厂界</w:t>
            </w: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hint="eastAsia" w:ascii="Times New Roman" w:hAnsi="Times New Roman" w:eastAsia="宋体" w:cs="Times New Roman"/>
                <w:snapToGrid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昼间噪声、夜间噪声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自行监测每季度一次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土壤</w:t>
            </w:r>
          </w:p>
        </w:tc>
        <w:tc>
          <w:tcPr>
            <w:tcW w:w="119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厂内</w:t>
            </w: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hint="eastAsia" w:ascii="Times New Roman" w:hAnsi="Times New Roman" w:eastAsia="宋体" w:cs="Times New Roman"/>
                <w:snapToGrid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pH、锌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、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石油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类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、土壤45项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年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</w:tbl>
    <w:p/>
    <w:p>
      <w:pPr>
        <w:rPr>
          <w:rFonts w:ascii="Times New Roman" w:hAnsi="Times New Roman" w:cs="Times New Roman"/>
        </w:rPr>
      </w:pPr>
      <w:r>
        <w:rPr>
          <w:rFonts w:ascii="Times New Roman" w:cs="Times New Roman"/>
        </w:rPr>
        <w:t>三、企业排污信息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cs="Times New Roman"/>
        </w:rPr>
        <w:t>固定源废气排放信息</w:t>
      </w:r>
    </w:p>
    <w:tbl>
      <w:tblPr>
        <w:tblStyle w:val="16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2"/>
        <w:gridCol w:w="1552"/>
        <w:gridCol w:w="1286"/>
        <w:gridCol w:w="1108"/>
        <w:gridCol w:w="944"/>
        <w:gridCol w:w="950"/>
        <w:gridCol w:w="263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序号</w:t>
            </w:r>
          </w:p>
        </w:tc>
        <w:tc>
          <w:tcPr>
            <w:tcW w:w="155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排放口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检测因子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检测数值mg/Nm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规定限值mg/Nm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对标</w:t>
            </w:r>
          </w:p>
        </w:tc>
        <w:tc>
          <w:tcPr>
            <w:tcW w:w="26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55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一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期气液焚烧炉排气筒（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35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m）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非甲烷总烃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5.96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《挥发性有机物排放标准第6部分：有机化工行业》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（DB37/ 2801.6—2018）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tcBorders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tcBorders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锡、锑、铜、锰、镍、钴及其化合物</w:t>
            </w:r>
          </w:p>
        </w:tc>
        <w:tc>
          <w:tcPr>
            <w:tcW w:w="110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0.003063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危险废物焚烧污染控制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标准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》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(GB 18484-2020)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55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RTO排气筒（50m）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颗粒物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1.7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《山东省区域性大气污染物综合排放标准》（DB37/2376-2019）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二氧化硫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ND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tcBorders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氮氧化物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tcBorders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硫化氢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0.02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eastAsia="zh-CN"/>
              </w:rPr>
              <w:t>《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有机化工企业污水处理厂（站）挥发性有机物及恶臭污染物排放标准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eastAsia="zh-CN"/>
              </w:rPr>
              <w:t>》（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DB37/3161-2018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eastAsia="zh-CN"/>
              </w:rPr>
              <w:t>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二甲苯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《挥发性有机物排放标准第6部分：有机化工行业》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（DB37/ 2801.6—2018）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吡啶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tcBorders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非甲烷总烃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7.46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tcBorders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55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二期气液焚烧炉排气筒（50m）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颗粒物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1.5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《山东省区域性大气污染物综合排放标准》（DB37/2376-2019）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二氧化硫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4.05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氮氧化物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46.8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一氧化碳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4.71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危险废物焚烧污染控制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标准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》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(GB 18484-2020)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氯化氢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1.87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二噁英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ng-TEQ/m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0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0.43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0.5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锡、锑、铜、锰、镍、钴及其化合物</w:t>
            </w:r>
          </w:p>
        </w:tc>
        <w:tc>
          <w:tcPr>
            <w:tcW w:w="110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0.004386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非甲烷总烃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7.86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《挥发性有机物排放标准第6部分：有机化工行业》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（DB37/ 2801.6—2018）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55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1#导热油炉排气筒（50m）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氮氧化物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28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《锅炉大气污染物排放标准》（DB37/2374-2018）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tcBorders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1552" w:type="dxa"/>
            <w:vMerge w:val="continue"/>
            <w:tcBorders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颗粒物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2.6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tcBorders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tcBorders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1552" w:type="dxa"/>
            <w:vMerge w:val="continue"/>
            <w:tcBorders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二氧化硫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tcBorders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tcBorders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1552" w:type="dxa"/>
            <w:vMerge w:val="continue"/>
            <w:tcBorders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烟气黑度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&lt;1级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Arial" w:hAnsi="Arial" w:eastAsia="宋体" w:cs="Arial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  <w:t>1级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tcBorders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55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2#导热油炉排气筒（40m）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氮氧化物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39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《锅炉大气污染物排放标准》（DB37/2374-2018）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tcBorders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1552" w:type="dxa"/>
            <w:vMerge w:val="continue"/>
            <w:tcBorders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颗粒物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2.4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tcBorders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tcBorders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1552" w:type="dxa"/>
            <w:vMerge w:val="continue"/>
            <w:tcBorders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二氧化硫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tcBorders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tcBorders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1552" w:type="dxa"/>
            <w:vMerge w:val="continue"/>
            <w:tcBorders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烟气黑度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&lt;1级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Arial" w:hAnsi="Arial" w:eastAsia="宋体" w:cs="Arial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  <w:t>1级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tcBorders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155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乙炔排气筒（25m）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颗粒物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3.2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《山东省区域性大气污染物综合排放标准》（DB37/2376-2019）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2.无组织废气排放信息</w:t>
      </w:r>
    </w:p>
    <w:tbl>
      <w:tblPr>
        <w:tblStyle w:val="16"/>
        <w:tblW w:w="9366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1560"/>
        <w:gridCol w:w="1417"/>
        <w:gridCol w:w="992"/>
        <w:gridCol w:w="993"/>
        <w:gridCol w:w="361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9366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山东新和成药业有限公司厂界无组织废气排放信息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序号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检测因子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检测数值mg/Nm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规定限值mg/Nm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对标</w:t>
            </w:r>
          </w:p>
        </w:tc>
        <w:tc>
          <w:tcPr>
            <w:tcW w:w="361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非甲烷总烃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0.7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《挥发性有机物排放标准第6部分：有机化工行业》（DB37/ 2801.6—2018）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2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甲苯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1.3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0.2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硫化氢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0.03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《有机化工企业污水处理厂（站）挥发性有机物及恶臭污染物排放标准》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（DB37/ 3161—2018）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氨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0.137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臭气浓度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（无量纲）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&lt;10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6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苯系物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0.0013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1.0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甲醇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《大气污染物综合排放标准》(GB16297-1996)二级标准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甲醛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酚类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丙烯醛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0.4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氯化氢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3污水总排口废水排放信息</w:t>
      </w:r>
    </w:p>
    <w:tbl>
      <w:tblPr>
        <w:tblStyle w:val="16"/>
        <w:tblW w:w="903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2307"/>
        <w:gridCol w:w="1124"/>
        <w:gridCol w:w="1233"/>
        <w:gridCol w:w="967"/>
        <w:gridCol w:w="250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340" w:hRule="atLeast"/>
          <w:jc w:val="center"/>
        </w:trPr>
        <w:tc>
          <w:tcPr>
            <w:tcW w:w="9038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山东新和成药业有限公司污水总排口废水排放信息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9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序号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检测因子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检测数值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mg/L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规定限值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mg/L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对标</w:t>
            </w:r>
          </w:p>
        </w:tc>
        <w:tc>
          <w:tcPr>
            <w:tcW w:w="250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PH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（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无量纲）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6.94-8.55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6-9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  <w:t>潍坊市滨海经济开发区先进制造产业园污水处理厂污水处置协议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化学需氧量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407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氨氮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5.85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总氮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15.4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总磷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2.92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悬浮物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五日生化需氧量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205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氟化物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0.39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1.5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全盐量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5670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石油类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0.77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挥发酚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硫酸盐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552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铜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0.00774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0.5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甲苯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0.1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可吸附有机卤化物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0.184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甲醛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0.47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0.5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总有机碳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283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色度（倍）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19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总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镍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0.025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0.05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20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氯化物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1330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21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苯酚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0.3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22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二甲苯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0.4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23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粪大肠菌群（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个/L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1000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地下水、噪声、土壤、飞灰监测信息</w:t>
      </w:r>
    </w:p>
    <w:tbl>
      <w:tblPr>
        <w:tblStyle w:val="16"/>
        <w:tblW w:w="8931" w:type="dxa"/>
        <w:tblInd w:w="10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134"/>
        <w:gridCol w:w="850"/>
        <w:gridCol w:w="851"/>
        <w:gridCol w:w="1942"/>
        <w:gridCol w:w="988"/>
        <w:gridCol w:w="762"/>
        <w:gridCol w:w="169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序号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监测点位</w:t>
            </w: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检测因子</w:t>
            </w:r>
          </w:p>
        </w:tc>
        <w:tc>
          <w:tcPr>
            <w:tcW w:w="194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检测数值</w:t>
            </w:r>
          </w:p>
        </w:tc>
        <w:tc>
          <w:tcPr>
            <w:tcW w:w="9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规定限值</w:t>
            </w:r>
          </w:p>
        </w:tc>
        <w:tc>
          <w:tcPr>
            <w:tcW w:w="76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对标</w:t>
            </w:r>
          </w:p>
        </w:tc>
        <w:tc>
          <w:tcPr>
            <w:tcW w:w="169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9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厂内观察井</w:t>
            </w: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pH（无量纲）</w:t>
            </w:r>
          </w:p>
        </w:tc>
        <w:tc>
          <w:tcPr>
            <w:tcW w:w="194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8.1-8.2</w:t>
            </w:r>
          </w:p>
        </w:tc>
        <w:tc>
          <w:tcPr>
            <w:tcW w:w="9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&lt;5.5或&gt;9.0</w:t>
            </w:r>
          </w:p>
        </w:tc>
        <w:tc>
          <w:tcPr>
            <w:tcW w:w="76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1695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《地下水质量标准》（GB/T14848-2017）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instrText xml:space="preserve"> = 5 \* ROMAN </w:instrTex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V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类水标准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340" w:hRule="atLeast"/>
        </w:trPr>
        <w:tc>
          <w:tcPr>
            <w:tcW w:w="70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石油类mg/L</w:t>
            </w:r>
          </w:p>
        </w:tc>
        <w:tc>
          <w:tcPr>
            <w:tcW w:w="1942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>ND</w:t>
            </w:r>
          </w:p>
        </w:tc>
        <w:tc>
          <w:tcPr>
            <w:tcW w:w="9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76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169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340" w:hRule="atLeast"/>
        </w:trPr>
        <w:tc>
          <w:tcPr>
            <w:tcW w:w="70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耗氧量（mg/L)</w:t>
            </w:r>
          </w:p>
        </w:tc>
        <w:tc>
          <w:tcPr>
            <w:tcW w:w="194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38.5</w:t>
            </w:r>
          </w:p>
        </w:tc>
        <w:tc>
          <w:tcPr>
            <w:tcW w:w="988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&gt;10</w:t>
            </w:r>
          </w:p>
        </w:tc>
        <w:tc>
          <w:tcPr>
            <w:tcW w:w="7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169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铜（mg/L)</w:t>
            </w:r>
          </w:p>
        </w:tc>
        <w:tc>
          <w:tcPr>
            <w:tcW w:w="194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0.00301</w:t>
            </w:r>
          </w:p>
        </w:tc>
        <w:tc>
          <w:tcPr>
            <w:tcW w:w="988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&gt;1.5</w:t>
            </w:r>
          </w:p>
        </w:tc>
        <w:tc>
          <w:tcPr>
            <w:tcW w:w="7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169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氨氮（mg/L)</w:t>
            </w:r>
          </w:p>
        </w:tc>
        <w:tc>
          <w:tcPr>
            <w:tcW w:w="194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1</w:t>
            </w:r>
          </w:p>
        </w:tc>
        <w:tc>
          <w:tcPr>
            <w:tcW w:w="988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&gt;1.5</w:t>
            </w:r>
          </w:p>
        </w:tc>
        <w:tc>
          <w:tcPr>
            <w:tcW w:w="7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169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硫化物（mg/L)</w:t>
            </w:r>
          </w:p>
        </w:tc>
        <w:tc>
          <w:tcPr>
            <w:tcW w:w="194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988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&gt;0.1</w:t>
            </w:r>
          </w:p>
        </w:tc>
        <w:tc>
          <w:tcPr>
            <w:tcW w:w="7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169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氟化物（mg/L)</w:t>
            </w:r>
          </w:p>
        </w:tc>
        <w:tc>
          <w:tcPr>
            <w:tcW w:w="1942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  <w:t>2.52</w:t>
            </w:r>
          </w:p>
        </w:tc>
        <w:tc>
          <w:tcPr>
            <w:tcW w:w="988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&gt;2.0</w:t>
            </w:r>
          </w:p>
        </w:tc>
        <w:tc>
          <w:tcPr>
            <w:tcW w:w="7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169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09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药业厂界</w:t>
            </w:r>
          </w:p>
        </w:tc>
        <w:tc>
          <w:tcPr>
            <w:tcW w:w="850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 eq（A）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昼间</w:t>
            </w:r>
          </w:p>
        </w:tc>
        <w:tc>
          <w:tcPr>
            <w:tcW w:w="194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53.1</w:t>
            </w:r>
          </w:p>
        </w:tc>
        <w:tc>
          <w:tcPr>
            <w:tcW w:w="9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76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1695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《工业企业厂界环境噪声排放标准》（GB12348-2008）3类功能区标准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夜间</w:t>
            </w:r>
          </w:p>
        </w:tc>
        <w:tc>
          <w:tcPr>
            <w:tcW w:w="194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47.3</w:t>
            </w:r>
          </w:p>
        </w:tc>
        <w:tc>
          <w:tcPr>
            <w:tcW w:w="9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76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169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3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飞灰</w:t>
            </w: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热酌减率%</w:t>
            </w:r>
          </w:p>
        </w:tc>
        <w:tc>
          <w:tcPr>
            <w:tcW w:w="194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2.8</w:t>
            </w:r>
          </w:p>
        </w:tc>
        <w:tc>
          <w:tcPr>
            <w:tcW w:w="9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&lt;5</w:t>
            </w:r>
          </w:p>
        </w:tc>
        <w:tc>
          <w:tcPr>
            <w:tcW w:w="76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169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危险废物焚烧污染控制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标准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》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(GB 18484-2020)</w:t>
            </w:r>
          </w:p>
        </w:tc>
      </w:tr>
    </w:tbl>
    <w:p>
      <w:pPr>
        <w:rPr>
          <w:rFonts w:ascii="Times New Roman" w:hAnsi="Times New Roman" w:cs="Times New Roman"/>
        </w:rPr>
        <w:sectPr>
          <w:headerReference r:id="rId3" w:type="default"/>
          <w:pgSz w:w="11907" w:h="16840"/>
          <w:pgMar w:top="1985" w:right="1559" w:bottom="1440" w:left="1418" w:header="1418" w:footer="992" w:gutter="0"/>
          <w:pgNumType w:start="1"/>
          <w:cols w:space="720" w:num="1"/>
        </w:sectPr>
      </w:pPr>
    </w:p>
    <w:p>
      <w:pPr>
        <w:rPr>
          <w:rFonts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  <w:highlight w:val="none"/>
        </w:rPr>
        <w:t>5. 山东新和成药业有限公司20</w:t>
      </w:r>
      <w:r>
        <w:rPr>
          <w:rFonts w:hint="eastAsia" w:ascii="Times New Roman" w:hAnsi="Times New Roman" w:cs="Times New Roman"/>
          <w:highlight w:val="none"/>
        </w:rPr>
        <w:t>2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2</w:t>
      </w:r>
      <w:r>
        <w:rPr>
          <w:rFonts w:ascii="Times New Roman" w:hAnsi="Times New Roman" w:cs="Times New Roman"/>
          <w:highlight w:val="none"/>
        </w:rPr>
        <w:t>年危废处置报表</w:t>
      </w:r>
    </w:p>
    <w:p>
      <w:pPr>
        <w:rPr>
          <w:rFonts w:ascii="Times New Roman" w:hAnsi="Times New Roman" w:cs="Times New Roman"/>
        </w:rPr>
      </w:pPr>
    </w:p>
    <w:tbl>
      <w:tblPr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4"/>
        <w:gridCol w:w="934"/>
        <w:gridCol w:w="934"/>
        <w:gridCol w:w="790"/>
        <w:gridCol w:w="791"/>
        <w:gridCol w:w="502"/>
        <w:gridCol w:w="867"/>
        <w:gridCol w:w="643"/>
        <w:gridCol w:w="652"/>
        <w:gridCol w:w="502"/>
        <w:gridCol w:w="649"/>
        <w:gridCol w:w="791"/>
        <w:gridCol w:w="720"/>
        <w:gridCol w:w="502"/>
        <w:gridCol w:w="578"/>
        <w:gridCol w:w="502"/>
        <w:gridCol w:w="649"/>
        <w:gridCol w:w="360"/>
        <w:gridCol w:w="788"/>
        <w:gridCol w:w="5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59" w:hRule="atLeast"/>
        </w:trPr>
        <w:tc>
          <w:tcPr>
            <w:tcW w:w="5000" w:type="pct"/>
            <w:gridSpan w:val="20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singl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single"/>
                <w:bdr w:val="none" w:color="auto" w:sz="0" w:space="0"/>
                <w:lang w:val="en-US" w:eastAsia="zh-CN" w:bidi="ar"/>
              </w:rPr>
              <w:t>2022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single"/>
                <w:bdr w:val="none" w:color="auto" w:sz="0" w:space="0"/>
                <w:lang w:val="en-US" w:eastAsia="zh-CN" w:bidi="ar"/>
              </w:rPr>
              <w:t>年危险废物汇总表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342" w:type="pct"/>
            <w:vMerge w:val="restart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废物编号</w:t>
            </w:r>
          </w:p>
        </w:tc>
        <w:tc>
          <w:tcPr>
            <w:tcW w:w="342" w:type="pct"/>
            <w:vMerge w:val="restart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废物名称</w:t>
            </w:r>
          </w:p>
        </w:tc>
        <w:tc>
          <w:tcPr>
            <w:tcW w:w="342" w:type="pct"/>
            <w:vMerge w:val="restart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产生量T</w:t>
            </w:r>
          </w:p>
        </w:tc>
        <w:tc>
          <w:tcPr>
            <w:tcW w:w="289" w:type="pct"/>
            <w:vMerge w:val="restart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原有贮存量T</w:t>
            </w:r>
          </w:p>
        </w:tc>
        <w:tc>
          <w:tcPr>
            <w:tcW w:w="290" w:type="pct"/>
            <w:vMerge w:val="restart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剩余贮存量T</w:t>
            </w:r>
          </w:p>
        </w:tc>
        <w:tc>
          <w:tcPr>
            <w:tcW w:w="502" w:type="pct"/>
            <w:gridSpan w:val="2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单位自行利用/处置</w:t>
            </w:r>
          </w:p>
        </w:tc>
        <w:tc>
          <w:tcPr>
            <w:tcW w:w="2890" w:type="pct"/>
            <w:gridSpan w:val="13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委外处置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9" w:hRule="atLeast"/>
        </w:trPr>
        <w:tc>
          <w:tcPr>
            <w:tcW w:w="342" w:type="pct"/>
            <w:vMerge w:val="continue"/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42" w:type="pct"/>
            <w:vMerge w:val="continue"/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42" w:type="pct"/>
            <w:vMerge w:val="continue"/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89" w:type="pct"/>
            <w:vMerge w:val="continue"/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90" w:type="pct"/>
            <w:vMerge w:val="continue"/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02" w:type="pct"/>
            <w:gridSpan w:val="2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山东新和成药业有限公司</w:t>
            </w:r>
          </w:p>
        </w:tc>
        <w:tc>
          <w:tcPr>
            <w:tcW w:w="475" w:type="pct"/>
            <w:gridSpan w:val="2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山东新和成维生素有限公司</w:t>
            </w:r>
          </w:p>
        </w:tc>
        <w:tc>
          <w:tcPr>
            <w:tcW w:w="422" w:type="pct"/>
            <w:gridSpan w:val="2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处置利用单位：鑫广绿环再生资源股份有限公司                      </w:t>
            </w:r>
          </w:p>
        </w:tc>
        <w:tc>
          <w:tcPr>
            <w:tcW w:w="554" w:type="pct"/>
            <w:gridSpan w:val="2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处置利用单位：渤瑞环保股份有限公司</w:t>
            </w:r>
          </w:p>
        </w:tc>
        <w:tc>
          <w:tcPr>
            <w:tcW w:w="396" w:type="pct"/>
            <w:gridSpan w:val="2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处置利用单位：佛士特环保                     </w:t>
            </w:r>
          </w:p>
        </w:tc>
        <w:tc>
          <w:tcPr>
            <w:tcW w:w="422" w:type="pct"/>
            <w:gridSpan w:val="2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处置利用单位：北控环境有限公司            </w:t>
            </w:r>
          </w:p>
        </w:tc>
        <w:tc>
          <w:tcPr>
            <w:tcW w:w="421" w:type="pct"/>
            <w:gridSpan w:val="2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处置利用单位：日照磐钰环保科技有限公司</w:t>
            </w:r>
          </w:p>
        </w:tc>
        <w:tc>
          <w:tcPr>
            <w:tcW w:w="199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库存损失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60" w:hRule="atLeast"/>
        </w:trPr>
        <w:tc>
          <w:tcPr>
            <w:tcW w:w="342" w:type="pct"/>
            <w:vMerge w:val="continue"/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42" w:type="pct"/>
            <w:vMerge w:val="continue"/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42" w:type="pct"/>
            <w:vMerge w:val="continue"/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89" w:type="pct"/>
            <w:vMerge w:val="continue"/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90" w:type="pct"/>
            <w:vMerge w:val="continue"/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4" w:type="pct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利用处置方式</w:t>
            </w:r>
          </w:p>
        </w:tc>
        <w:tc>
          <w:tcPr>
            <w:tcW w:w="318" w:type="pct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利用处置量</w:t>
            </w:r>
          </w:p>
        </w:tc>
        <w:tc>
          <w:tcPr>
            <w:tcW w:w="235" w:type="pct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利用处置方式</w:t>
            </w:r>
          </w:p>
        </w:tc>
        <w:tc>
          <w:tcPr>
            <w:tcW w:w="239" w:type="pct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利用处置量</w:t>
            </w:r>
          </w:p>
        </w:tc>
        <w:tc>
          <w:tcPr>
            <w:tcW w:w="184" w:type="pct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利用处置方式</w:t>
            </w:r>
          </w:p>
        </w:tc>
        <w:tc>
          <w:tcPr>
            <w:tcW w:w="238" w:type="pct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转移利用处置量</w:t>
            </w:r>
          </w:p>
        </w:tc>
        <w:tc>
          <w:tcPr>
            <w:tcW w:w="290" w:type="pct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利用处置方式</w:t>
            </w:r>
          </w:p>
        </w:tc>
        <w:tc>
          <w:tcPr>
            <w:tcW w:w="264" w:type="pct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转移利用处置量</w:t>
            </w:r>
          </w:p>
        </w:tc>
        <w:tc>
          <w:tcPr>
            <w:tcW w:w="184" w:type="pct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利用处置方式</w:t>
            </w:r>
          </w:p>
        </w:tc>
        <w:tc>
          <w:tcPr>
            <w:tcW w:w="212" w:type="pct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转移利用处置量</w:t>
            </w:r>
          </w:p>
        </w:tc>
        <w:tc>
          <w:tcPr>
            <w:tcW w:w="184" w:type="pct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利用处置方式</w:t>
            </w:r>
          </w:p>
        </w:tc>
        <w:tc>
          <w:tcPr>
            <w:tcW w:w="238" w:type="pct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转移利用处置量</w:t>
            </w:r>
          </w:p>
        </w:tc>
        <w:tc>
          <w:tcPr>
            <w:tcW w:w="132" w:type="pct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利用处置方式</w:t>
            </w:r>
          </w:p>
        </w:tc>
        <w:tc>
          <w:tcPr>
            <w:tcW w:w="289" w:type="pct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转移利用处置量</w:t>
            </w:r>
          </w:p>
        </w:tc>
        <w:tc>
          <w:tcPr>
            <w:tcW w:w="199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342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900-249-08</w:t>
            </w:r>
          </w:p>
        </w:tc>
        <w:tc>
          <w:tcPr>
            <w:tcW w:w="342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废矿物油</w:t>
            </w:r>
          </w:p>
        </w:tc>
        <w:tc>
          <w:tcPr>
            <w:tcW w:w="342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0.3400 </w:t>
            </w:r>
          </w:p>
        </w:tc>
        <w:tc>
          <w:tcPr>
            <w:tcW w:w="289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0.0000 </w:t>
            </w:r>
          </w:p>
        </w:tc>
        <w:tc>
          <w:tcPr>
            <w:tcW w:w="290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0.0000 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1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0.34</w:t>
            </w:r>
          </w:p>
        </w:tc>
        <w:tc>
          <w:tcPr>
            <w:tcW w:w="235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9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290" w:type="pct"/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64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12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32" w:type="pct"/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89" w:type="pct"/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199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</w:tblPrEx>
        <w:trPr>
          <w:trHeight w:val="499" w:hRule="atLeast"/>
        </w:trPr>
        <w:tc>
          <w:tcPr>
            <w:tcW w:w="342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900-013-11</w:t>
            </w:r>
          </w:p>
        </w:tc>
        <w:tc>
          <w:tcPr>
            <w:tcW w:w="342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精馏残渣</w:t>
            </w:r>
          </w:p>
        </w:tc>
        <w:tc>
          <w:tcPr>
            <w:tcW w:w="342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274.3620 </w:t>
            </w:r>
          </w:p>
        </w:tc>
        <w:tc>
          <w:tcPr>
            <w:tcW w:w="289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27.9660 </w:t>
            </w:r>
          </w:p>
        </w:tc>
        <w:tc>
          <w:tcPr>
            <w:tcW w:w="290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0.3940 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1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235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焚烧</w:t>
            </w:r>
          </w:p>
        </w:tc>
        <w:tc>
          <w:tcPr>
            <w:tcW w:w="239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226.874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290" w:type="pct"/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64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12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32" w:type="pct"/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89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75.06</w:t>
            </w:r>
          </w:p>
        </w:tc>
        <w:tc>
          <w:tcPr>
            <w:tcW w:w="199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342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900-015-13</w:t>
            </w:r>
          </w:p>
        </w:tc>
        <w:tc>
          <w:tcPr>
            <w:tcW w:w="342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废树脂</w:t>
            </w:r>
          </w:p>
        </w:tc>
        <w:tc>
          <w:tcPr>
            <w:tcW w:w="342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2.4048 </w:t>
            </w:r>
          </w:p>
        </w:tc>
        <w:tc>
          <w:tcPr>
            <w:tcW w:w="289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1.2152 </w:t>
            </w:r>
          </w:p>
        </w:tc>
        <w:tc>
          <w:tcPr>
            <w:tcW w:w="290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0.0000 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1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235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焚烧</w:t>
            </w:r>
          </w:p>
        </w:tc>
        <w:tc>
          <w:tcPr>
            <w:tcW w:w="239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3.62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290" w:type="pct"/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64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12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32" w:type="pct"/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89" w:type="pct"/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199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342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900-046-49</w:t>
            </w:r>
          </w:p>
        </w:tc>
        <w:tc>
          <w:tcPr>
            <w:tcW w:w="342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污泥</w:t>
            </w:r>
          </w:p>
        </w:tc>
        <w:tc>
          <w:tcPr>
            <w:tcW w:w="342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908.3480 </w:t>
            </w:r>
          </w:p>
        </w:tc>
        <w:tc>
          <w:tcPr>
            <w:tcW w:w="289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4.7820 </w:t>
            </w:r>
          </w:p>
        </w:tc>
        <w:tc>
          <w:tcPr>
            <w:tcW w:w="290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28.2300 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1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235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焚烧</w:t>
            </w:r>
          </w:p>
        </w:tc>
        <w:tc>
          <w:tcPr>
            <w:tcW w:w="239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884.9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290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64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12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32" w:type="pct"/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89" w:type="pct"/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199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</w:tblPrEx>
        <w:trPr>
          <w:trHeight w:val="499" w:hRule="atLeast"/>
        </w:trPr>
        <w:tc>
          <w:tcPr>
            <w:tcW w:w="342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900-013-11</w:t>
            </w:r>
          </w:p>
        </w:tc>
        <w:tc>
          <w:tcPr>
            <w:tcW w:w="342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精馏残液</w:t>
            </w:r>
          </w:p>
        </w:tc>
        <w:tc>
          <w:tcPr>
            <w:tcW w:w="342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21903.5670 </w:t>
            </w:r>
          </w:p>
        </w:tc>
        <w:tc>
          <w:tcPr>
            <w:tcW w:w="289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102.2400 </w:t>
            </w:r>
          </w:p>
        </w:tc>
        <w:tc>
          <w:tcPr>
            <w:tcW w:w="290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382.2400 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焚烧</w:t>
            </w:r>
          </w:p>
        </w:tc>
        <w:tc>
          <w:tcPr>
            <w:tcW w:w="31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10430.317</w:t>
            </w:r>
          </w:p>
        </w:tc>
        <w:tc>
          <w:tcPr>
            <w:tcW w:w="235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焚烧</w:t>
            </w:r>
          </w:p>
        </w:tc>
        <w:tc>
          <w:tcPr>
            <w:tcW w:w="239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11016.43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290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64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176.82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12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32" w:type="pct"/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89" w:type="pct"/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199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342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900-407-06</w:t>
            </w:r>
          </w:p>
        </w:tc>
        <w:tc>
          <w:tcPr>
            <w:tcW w:w="342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高浓度废水</w:t>
            </w:r>
          </w:p>
        </w:tc>
        <w:tc>
          <w:tcPr>
            <w:tcW w:w="342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2472.0600 </w:t>
            </w:r>
          </w:p>
        </w:tc>
        <w:tc>
          <w:tcPr>
            <w:tcW w:w="289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10.0600 </w:t>
            </w:r>
          </w:p>
        </w:tc>
        <w:tc>
          <w:tcPr>
            <w:tcW w:w="290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38.4600 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焚烧</w:t>
            </w:r>
          </w:p>
        </w:tc>
        <w:tc>
          <w:tcPr>
            <w:tcW w:w="31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570.22</w:t>
            </w:r>
          </w:p>
        </w:tc>
        <w:tc>
          <w:tcPr>
            <w:tcW w:w="235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焚烧</w:t>
            </w:r>
          </w:p>
        </w:tc>
        <w:tc>
          <w:tcPr>
            <w:tcW w:w="239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864.68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290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64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712.48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12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68.66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227.62</w:t>
            </w:r>
          </w:p>
        </w:tc>
        <w:tc>
          <w:tcPr>
            <w:tcW w:w="132" w:type="pct"/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89" w:type="pct"/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199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342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900-407-06</w:t>
            </w:r>
          </w:p>
        </w:tc>
        <w:tc>
          <w:tcPr>
            <w:tcW w:w="342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高浓度废液</w:t>
            </w:r>
          </w:p>
        </w:tc>
        <w:tc>
          <w:tcPr>
            <w:tcW w:w="342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2120.0200 </w:t>
            </w:r>
          </w:p>
        </w:tc>
        <w:tc>
          <w:tcPr>
            <w:tcW w:w="289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0.0000 </w:t>
            </w:r>
          </w:p>
        </w:tc>
        <w:tc>
          <w:tcPr>
            <w:tcW w:w="290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50.8800 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焚烧</w:t>
            </w:r>
          </w:p>
        </w:tc>
        <w:tc>
          <w:tcPr>
            <w:tcW w:w="31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235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焚烧</w:t>
            </w:r>
          </w:p>
        </w:tc>
        <w:tc>
          <w:tcPr>
            <w:tcW w:w="239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290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64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2069.14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12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32" w:type="pct"/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89" w:type="pct"/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199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342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900-041-49</w:t>
            </w:r>
          </w:p>
        </w:tc>
        <w:tc>
          <w:tcPr>
            <w:tcW w:w="342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废包装物</w:t>
            </w:r>
          </w:p>
        </w:tc>
        <w:tc>
          <w:tcPr>
            <w:tcW w:w="342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86.6235 </w:t>
            </w:r>
          </w:p>
        </w:tc>
        <w:tc>
          <w:tcPr>
            <w:tcW w:w="289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5.2920 </w:t>
            </w:r>
          </w:p>
        </w:tc>
        <w:tc>
          <w:tcPr>
            <w:tcW w:w="290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0.2415 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1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235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焚烧</w:t>
            </w:r>
          </w:p>
        </w:tc>
        <w:tc>
          <w:tcPr>
            <w:tcW w:w="239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91.674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290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64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12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32" w:type="pct"/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89" w:type="pct"/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199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</w:tblPrEx>
        <w:trPr>
          <w:trHeight w:val="499" w:hRule="atLeast"/>
        </w:trPr>
        <w:tc>
          <w:tcPr>
            <w:tcW w:w="342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900-041-49</w:t>
            </w:r>
          </w:p>
        </w:tc>
        <w:tc>
          <w:tcPr>
            <w:tcW w:w="342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废吸附剂</w:t>
            </w:r>
          </w:p>
        </w:tc>
        <w:tc>
          <w:tcPr>
            <w:tcW w:w="342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15.5000 </w:t>
            </w:r>
          </w:p>
        </w:tc>
        <w:tc>
          <w:tcPr>
            <w:tcW w:w="289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0.0000 </w:t>
            </w:r>
          </w:p>
        </w:tc>
        <w:tc>
          <w:tcPr>
            <w:tcW w:w="290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0.0000 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1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235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焚烧</w:t>
            </w:r>
          </w:p>
        </w:tc>
        <w:tc>
          <w:tcPr>
            <w:tcW w:w="239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15.5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290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64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12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32" w:type="pct"/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89" w:type="pct"/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199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342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772-003-18</w:t>
            </w:r>
          </w:p>
        </w:tc>
        <w:tc>
          <w:tcPr>
            <w:tcW w:w="342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焚烧飞灰</w:t>
            </w:r>
          </w:p>
        </w:tc>
        <w:tc>
          <w:tcPr>
            <w:tcW w:w="342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314.4290 </w:t>
            </w:r>
          </w:p>
        </w:tc>
        <w:tc>
          <w:tcPr>
            <w:tcW w:w="289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26.4750 </w:t>
            </w:r>
          </w:p>
        </w:tc>
        <w:tc>
          <w:tcPr>
            <w:tcW w:w="290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7.3440 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1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235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9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填埋</w:t>
            </w:r>
          </w:p>
        </w:tc>
        <w:tc>
          <w:tcPr>
            <w:tcW w:w="23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333.56</w:t>
            </w:r>
          </w:p>
        </w:tc>
        <w:tc>
          <w:tcPr>
            <w:tcW w:w="290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64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填埋</w:t>
            </w:r>
          </w:p>
        </w:tc>
        <w:tc>
          <w:tcPr>
            <w:tcW w:w="212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32" w:type="pct"/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89" w:type="pct"/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199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342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271-006-50</w:t>
            </w:r>
          </w:p>
        </w:tc>
        <w:tc>
          <w:tcPr>
            <w:tcW w:w="342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废催化剂</w:t>
            </w:r>
          </w:p>
        </w:tc>
        <w:tc>
          <w:tcPr>
            <w:tcW w:w="342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33.3246 </w:t>
            </w:r>
          </w:p>
        </w:tc>
        <w:tc>
          <w:tcPr>
            <w:tcW w:w="289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3.6130 </w:t>
            </w:r>
          </w:p>
        </w:tc>
        <w:tc>
          <w:tcPr>
            <w:tcW w:w="290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31.7516 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1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235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焚烧</w:t>
            </w:r>
          </w:p>
        </w:tc>
        <w:tc>
          <w:tcPr>
            <w:tcW w:w="239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5.186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290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64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12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84" w:type="pct"/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回收</w:t>
            </w:r>
          </w:p>
        </w:tc>
        <w:tc>
          <w:tcPr>
            <w:tcW w:w="23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32" w:type="pct"/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89" w:type="pct"/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199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342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900-039-49</w:t>
            </w:r>
          </w:p>
        </w:tc>
        <w:tc>
          <w:tcPr>
            <w:tcW w:w="342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废活性炭</w:t>
            </w:r>
          </w:p>
        </w:tc>
        <w:tc>
          <w:tcPr>
            <w:tcW w:w="342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0.2400 </w:t>
            </w:r>
          </w:p>
        </w:tc>
        <w:tc>
          <w:tcPr>
            <w:tcW w:w="289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0.0000 </w:t>
            </w:r>
          </w:p>
        </w:tc>
        <w:tc>
          <w:tcPr>
            <w:tcW w:w="290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0.2400 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1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235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焚烧</w:t>
            </w:r>
          </w:p>
        </w:tc>
        <w:tc>
          <w:tcPr>
            <w:tcW w:w="239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290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64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12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84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32" w:type="pct"/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89" w:type="pct"/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199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</w:tblPrEx>
        <w:trPr>
          <w:trHeight w:val="499" w:hRule="atLeast"/>
        </w:trPr>
        <w:tc>
          <w:tcPr>
            <w:tcW w:w="342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900-047-49</w:t>
            </w:r>
          </w:p>
        </w:tc>
        <w:tc>
          <w:tcPr>
            <w:tcW w:w="342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实验室废液</w:t>
            </w:r>
          </w:p>
        </w:tc>
        <w:tc>
          <w:tcPr>
            <w:tcW w:w="342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2.8000 </w:t>
            </w:r>
          </w:p>
        </w:tc>
        <w:tc>
          <w:tcPr>
            <w:tcW w:w="289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0.0000 </w:t>
            </w:r>
          </w:p>
        </w:tc>
        <w:tc>
          <w:tcPr>
            <w:tcW w:w="290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0.0000 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1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2.8</w:t>
            </w:r>
          </w:p>
        </w:tc>
        <w:tc>
          <w:tcPr>
            <w:tcW w:w="235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9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290" w:type="pct"/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64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12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84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32" w:type="pct"/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89" w:type="pct"/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199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342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900-041-49</w:t>
            </w:r>
          </w:p>
        </w:tc>
        <w:tc>
          <w:tcPr>
            <w:tcW w:w="342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废包装桶</w:t>
            </w:r>
          </w:p>
        </w:tc>
        <w:tc>
          <w:tcPr>
            <w:tcW w:w="342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31.1200 </w:t>
            </w:r>
          </w:p>
        </w:tc>
        <w:tc>
          <w:tcPr>
            <w:tcW w:w="289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0.0000 </w:t>
            </w:r>
          </w:p>
        </w:tc>
        <w:tc>
          <w:tcPr>
            <w:tcW w:w="290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0.0000 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1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235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9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焚烧</w:t>
            </w:r>
          </w:p>
        </w:tc>
        <w:tc>
          <w:tcPr>
            <w:tcW w:w="23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290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清洗利用</w:t>
            </w:r>
          </w:p>
        </w:tc>
        <w:tc>
          <w:tcPr>
            <w:tcW w:w="264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31.12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12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84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32" w:type="pct"/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89" w:type="pct"/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199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342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900-047-49</w:t>
            </w:r>
          </w:p>
        </w:tc>
        <w:tc>
          <w:tcPr>
            <w:tcW w:w="342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废试剂瓶</w:t>
            </w:r>
          </w:p>
        </w:tc>
        <w:tc>
          <w:tcPr>
            <w:tcW w:w="342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4.3410 </w:t>
            </w:r>
          </w:p>
        </w:tc>
        <w:tc>
          <w:tcPr>
            <w:tcW w:w="289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0.6390 </w:t>
            </w:r>
          </w:p>
        </w:tc>
        <w:tc>
          <w:tcPr>
            <w:tcW w:w="290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0.0000 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1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235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9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290" w:type="pct"/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焚烧</w:t>
            </w:r>
          </w:p>
        </w:tc>
        <w:tc>
          <w:tcPr>
            <w:tcW w:w="264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4.98</w:t>
            </w:r>
          </w:p>
        </w:tc>
        <w:tc>
          <w:tcPr>
            <w:tcW w:w="184" w:type="pct"/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12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84" w:type="pct"/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8" w:type="pct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132" w:type="pct"/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89" w:type="pct"/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199" w:type="pct"/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</w:tbl>
    <w:p>
      <w:pPr>
        <w:rPr>
          <w:rFonts w:ascii="Times New Roman" w:hAnsi="Times New Roman" w:cs="Times New Roman"/>
        </w:rPr>
        <w:sectPr>
          <w:pgSz w:w="16840" w:h="11907" w:orient="landscape"/>
          <w:pgMar w:top="1418" w:right="1985" w:bottom="1559" w:left="1440" w:header="1418" w:footer="992" w:gutter="0"/>
          <w:pgNumType w:start="1"/>
          <w:cols w:space="720" w:num="1"/>
          <w:docGrid w:linePitch="286" w:charSpace="0"/>
        </w:sect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山东新和成药业有限公司</w:t>
      </w:r>
      <w:r>
        <w:rPr>
          <w:rFonts w:hint="eastAsia" w:ascii="Times New Roman" w:hAnsi="Times New Roman" w:cs="Times New Roman"/>
        </w:rPr>
        <w:t>202</w:t>
      </w:r>
      <w:r>
        <w:rPr>
          <w:rFonts w:hint="eastAsia" w:ascii="Times New Roman" w:hAnsi="Times New Roman" w:cs="Times New Roman"/>
          <w:lang w:val="en-US" w:eastAsia="zh-CN"/>
        </w:rPr>
        <w:t>2</w:t>
      </w:r>
      <w:r>
        <w:rPr>
          <w:rFonts w:ascii="Times New Roman" w:hAnsi="Times New Roman" w:cs="Times New Roman"/>
        </w:rPr>
        <w:t>年主要污染物总量控制年报</w:t>
      </w:r>
    </w:p>
    <w:tbl>
      <w:tblPr>
        <w:tblStyle w:val="16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843"/>
        <w:gridCol w:w="2268"/>
        <w:gridCol w:w="2388"/>
        <w:gridCol w:w="183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146" w:type="dxa"/>
            <w:gridSpan w:val="5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山东新和成药业有限公司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202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年主要污染物总量控制年报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序号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污染物名称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实际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排放量（t/a）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许可排放量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（t/a）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达标情况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颗粒物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  <w:t>0.574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  <w:t>11.226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二氧化硫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  <w:t>0.6081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4.006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氮氧化物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  <w:t>16.289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 xml:space="preserve">76.713 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挥发性有机物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  <w:t>36.797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  <w:t>150.1942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氨氮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  <w:t>7.3945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  <w:t>63.935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总氮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  <w:t>16.568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  <w:t>77.064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COD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  <w:t>204.43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  <w:t>639.355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四、山东新和成药业有限公司</w:t>
      </w:r>
      <w:r>
        <w:rPr>
          <w:rFonts w:hint="eastAsia" w:ascii="Times New Roman" w:hAnsi="Times New Roman" w:cs="Times New Roman"/>
        </w:rPr>
        <w:t>污染防治</w:t>
      </w:r>
      <w:r>
        <w:rPr>
          <w:rFonts w:ascii="Times New Roman" w:hAnsi="Times New Roman" w:cs="Times New Roman"/>
        </w:rPr>
        <w:t>设施台账</w:t>
      </w:r>
    </w:p>
    <w:tbl>
      <w:tblPr>
        <w:tblStyle w:val="16"/>
        <w:tblW w:w="91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"/>
        <w:gridCol w:w="786"/>
        <w:gridCol w:w="857"/>
        <w:gridCol w:w="589"/>
        <w:gridCol w:w="1007"/>
        <w:gridCol w:w="1786"/>
        <w:gridCol w:w="1137"/>
        <w:gridCol w:w="1047"/>
        <w:gridCol w:w="779"/>
        <w:gridCol w:w="677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序号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排污口编号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污染防治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设施名称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数量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投运时间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处理工艺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设计处理能力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实际处理能力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运行时间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运行状态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DA001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一期气液焚烧炉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2017.06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低氮燃烧技术+SNCR脱硝(设置在余热锅炉中)+烟气急冷+干法脱酸和活性炭吸附+布袋除尘+湿法脱酸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1.8t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1.4t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7920h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停车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备用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</w:trPr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DA002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RTO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2014.06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预处理后的车间废气通过废气输送系统直接进入RTO处理，达标后通过50m排气筒排放。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5万Nm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4万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7920h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在运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DA003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二期气液焚烧炉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2019.11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低氮燃烧技术+SNCR脱硝(设置在余热锅炉中)+烟气急冷+干法脱酸和活性炭吸附+布袋除尘+烟气再循环+湿法脱酸+PTFE换热消白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3t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3t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7920h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在运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DA004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乙炔除尘器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2009.10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布袋除尘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20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3960h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在运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DA005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二期导热油炉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2017.10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SCR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7920h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在运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DA006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一期导热油炉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2017.10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SCR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10000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8000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7920h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在运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DW001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污水处理站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2009.04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隔油+混凝沉淀+气浮+水解+VLR氧化沟+臭氧氧化+Hydro-Clear过滤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4000m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00m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8760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h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在运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五</w:t>
      </w:r>
      <w:r>
        <w:rPr>
          <w:rFonts w:ascii="Times New Roman" w:hAnsi="Times New Roman" w:cs="Times New Roman"/>
        </w:rPr>
        <w:t>、</w:t>
      </w:r>
      <w:r>
        <w:rPr>
          <w:rFonts w:hint="eastAsia" w:ascii="Times New Roman" w:hAnsi="Times New Roman" w:cs="Times New Roman"/>
        </w:rPr>
        <w:t>排污口分布情况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drawing>
          <wp:inline distT="0" distB="0" distL="0" distR="0">
            <wp:extent cx="5670550" cy="4968875"/>
            <wp:effectExtent l="1905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496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六</w:t>
      </w:r>
      <w:r>
        <w:rPr>
          <w:rFonts w:ascii="Times New Roman" w:hAnsi="Times New Roman" w:cs="Times New Roman"/>
        </w:rPr>
        <w:t>、建设项目环保管理台账</w:t>
      </w:r>
    </w:p>
    <w:tbl>
      <w:tblPr>
        <w:tblStyle w:val="15"/>
        <w:tblW w:w="95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1"/>
        <w:gridCol w:w="2342"/>
        <w:gridCol w:w="850"/>
        <w:gridCol w:w="1125"/>
        <w:gridCol w:w="1734"/>
        <w:gridCol w:w="1101"/>
        <w:gridCol w:w="19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序号</w:t>
            </w:r>
          </w:p>
        </w:tc>
        <w:tc>
          <w:tcPr>
            <w:tcW w:w="2342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项目名称</w:t>
            </w:r>
          </w:p>
        </w:tc>
        <w:tc>
          <w:tcPr>
            <w:tcW w:w="850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环评编制单位</w:t>
            </w:r>
          </w:p>
        </w:tc>
        <w:tc>
          <w:tcPr>
            <w:tcW w:w="2859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环评批复</w:t>
            </w:r>
          </w:p>
        </w:tc>
        <w:tc>
          <w:tcPr>
            <w:tcW w:w="3046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竣工批复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批复日期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批复文号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批复日期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批复文号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1.2万吨/年异植物醇、5000吨/年芳樟醇、3000吨/年柠檬醛工程项目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2008.1.21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潍环审字（2008）21号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2010.3.11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潍环验[2010]38号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3000t/a二氢茉莉酮酸甲酯、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6000t/a异戊醛建设项目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山东省环科院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2008.7.23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鲁环审字（2008）135号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2014.7.9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鲁环验[2014]116号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900t/a叶醇（酯）、600t/a覆盆子酮建设项目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山东省环科院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2009.1.5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鲁环审字（2009）13号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2011.5.30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鲁环验[2011]40号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1000t/a乙酸芳樟酯、500t/a四氢芳樟醇建设项目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2009.2.12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潍环审字（2009）14号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2011.5.18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潍环验[2011]76号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3000t/a环戊酮、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3200t/a异戊烯醇建设项目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2010.1.8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潍滨环审字（2010）3号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2014.4.3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潍滨环验[2014]3号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1.37万吨/年柠檬醛衍生物、500吨/年丁内酯项目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2011.6.25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潍环审字（2011）148号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2014.7.2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2019.8.29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潍环验[2014]4号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二期自主验收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15000吨/年柠檬醛技改项目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2011.6.25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潍环审字（2011）149号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2016.1.25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2020.7.31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潍环验〔2016〕6号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二期自主验收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减少燃煤废气和工艺废气处理升级项目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2014.5.19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潍滨环表审14012号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2017.1.5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潍滨环表验〔2017〕1号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年产10000吨薄荷醇（脑）、5000吨香兰素、2000吨铃兰吡喃建设项目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2014.12.31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潍滨环审字［2014］35号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2017.1.5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潍滨环验〔2017〕5号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3000t/a环戊酮装置技改及危废资源减量化项目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2016.10.28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潍滨环审字〔2016〕20号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2018.6.22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自主验收公示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年产9000吨麦芽酚、8000吨桂醛、1600吨女贞醛、1000吨苯乐戊醇、100吨乙酸己酯及多功能中试建设项目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2017.2.24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潍滨环审字〔2017〕8号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2019.8.29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一期自主验收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二期气液焚烧炉项目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2019.5.5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潍滨环审字〔2019〕2号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2020.6.29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自主验收公示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4万吨香精香料系列产品项目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2019.10.29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潍环审字〔2019〕B23号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2022.2.25/</w:t>
            </w:r>
          </w:p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2023.1.13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  <w:t>一期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二期</w:t>
            </w:r>
            <w:r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  <w:t>自主验收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1.4万吨合成香料、8000段异戊烯醇及叶醇后处理资源化利用项目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2020.8.7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潍环审字〔2020〕B24号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2022.2.25/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2023.1.13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  <w:t>一期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二期</w:t>
            </w:r>
            <w:r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  <w:t>自主验收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1.3万吨年合成香料（年产5000吨芳樟醇 1000吨乙基柠檬腈等）扩产技改项目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2022.6.23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潍环审字〔202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〕B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4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4号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2023.1.13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  <w:t>一期自主验收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3.01万吨合成香料及中间体（年产4000吨乙酸芳樟酯、3600吨四氢芳樟醇等）扩产技改项目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2022.10.12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潍环审字〔202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〕B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68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正在建设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香料扩建及多功能车间项目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2022.10.15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潍环审字〔202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〕B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72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正在建设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  <w:bookmarkStart w:id="0" w:name="_GoBack"/>
            <w:bookmarkEnd w:id="0"/>
          </w:p>
        </w:tc>
      </w:tr>
    </w:tbl>
    <w:p>
      <w:pPr>
        <w:rPr>
          <w:rFonts w:hint="eastAsia" w:ascii="Times New Roman" w:hAnsi="Times New Roman" w:cs="Times New Roman"/>
        </w:rPr>
      </w:pPr>
    </w:p>
    <w:p>
      <w:pPr>
        <w:rPr>
          <w:rFonts w:hint="eastAsia" w:ascii="Times New Roman" w:hAnsi="Times New Roman" w:cs="Times New Roman"/>
        </w:rPr>
      </w:pPr>
    </w:p>
    <w:p>
      <w:pPr>
        <w:rPr>
          <w:rFonts w:hint="eastAsia" w:ascii="Times New Roman" w:hAnsi="Times New Roman" w:cs="Times New Roman"/>
        </w:rPr>
      </w:pPr>
    </w:p>
    <w:p>
      <w:pPr>
        <w:rPr>
          <w:rFonts w:hint="eastAsia" w:ascii="Times New Roman" w:hAnsi="Times New Roman" w:cs="Times New Roman"/>
        </w:rPr>
      </w:pPr>
    </w:p>
    <w:p>
      <w:pPr>
        <w:rPr>
          <w:rFonts w:hint="eastAsia" w:ascii="Times New Roman" w:hAnsi="Times New Roman" w:cs="Times New Roman"/>
        </w:rPr>
      </w:pPr>
    </w:p>
    <w:p>
      <w:pPr>
        <w:rPr>
          <w:rFonts w:hint="eastAsia"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七</w:t>
      </w:r>
      <w:r>
        <w:rPr>
          <w:rFonts w:ascii="Times New Roman" w:hAnsi="Times New Roman" w:cs="Times New Roman"/>
        </w:rPr>
        <w:t>、环境应急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1、应急电话：0536-7038802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2、山东新和成药业有限公司突发环境事件应急预案备案证明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486400" cy="778383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5486400" cy="6821170"/>
            <wp:effectExtent l="0" t="0" r="0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2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八</w:t>
      </w:r>
      <w:r>
        <w:rPr>
          <w:rFonts w:ascii="Times New Roman" w:hAnsi="Times New Roman" w:cs="Times New Roman"/>
        </w:rPr>
        <w:t>、监测单位资质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drawing>
          <wp:inline distT="0" distB="0" distL="114300" distR="114300">
            <wp:extent cx="5269230" cy="7458710"/>
            <wp:effectExtent l="0" t="0" r="7620" b="8890"/>
            <wp:docPr id="5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eastAsiaTheme="minorEastAsia"/>
          <w:sz w:val="28"/>
          <w:szCs w:val="28"/>
        </w:rPr>
        <w:drawing>
          <wp:inline distT="0" distB="0" distL="114300" distR="114300">
            <wp:extent cx="5263515" cy="7115175"/>
            <wp:effectExtent l="0" t="0" r="13335" b="9525"/>
            <wp:docPr id="11" name="图片 11" descr="C:/Users/ADMINI~1/AppData/Local/Temp/picturescale_20191128151010/output_20191128151012.pngoutput_2019112815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DMINI~1/AppData/Local/Temp/picturescale_20191128151010/output_20191128151012.pngoutput_201911281510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11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7" w:h="16840"/>
      <w:pgMar w:top="1985" w:right="1559" w:bottom="1440" w:left="1418" w:header="1418" w:footer="992" w:gutter="0"/>
      <w:pgNumType w:start="1"/>
      <w:cols w:space="72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4D1B3F"/>
    <w:multiLevelType w:val="multilevel"/>
    <w:tmpl w:val="404D1B3F"/>
    <w:lvl w:ilvl="0" w:tentative="0">
      <w:start w:val="1"/>
      <w:numFmt w:val="decimal"/>
      <w:lvlText w:val="%1"/>
      <w:lvlJc w:val="center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2FhOTliMWE4MDg2NjJkNjM3MDBhYWUzMWJhNGM4ZjIifQ=="/>
  </w:docVars>
  <w:rsids>
    <w:rsidRoot w:val="00CA6EA8"/>
    <w:rsid w:val="000014EA"/>
    <w:rsid w:val="00024D64"/>
    <w:rsid w:val="000364FC"/>
    <w:rsid w:val="00065741"/>
    <w:rsid w:val="00082644"/>
    <w:rsid w:val="000826F4"/>
    <w:rsid w:val="00082CBD"/>
    <w:rsid w:val="00090BF3"/>
    <w:rsid w:val="000A23DD"/>
    <w:rsid w:val="000A5699"/>
    <w:rsid w:val="000C2AE5"/>
    <w:rsid w:val="000F568D"/>
    <w:rsid w:val="000F7B50"/>
    <w:rsid w:val="00103298"/>
    <w:rsid w:val="0010336F"/>
    <w:rsid w:val="00103E6C"/>
    <w:rsid w:val="0010772C"/>
    <w:rsid w:val="00107EBA"/>
    <w:rsid w:val="00110647"/>
    <w:rsid w:val="00110665"/>
    <w:rsid w:val="001133BE"/>
    <w:rsid w:val="00114930"/>
    <w:rsid w:val="00114E80"/>
    <w:rsid w:val="0011519C"/>
    <w:rsid w:val="0012229C"/>
    <w:rsid w:val="00142752"/>
    <w:rsid w:val="00143C46"/>
    <w:rsid w:val="00145D05"/>
    <w:rsid w:val="00152B22"/>
    <w:rsid w:val="00155E07"/>
    <w:rsid w:val="00172642"/>
    <w:rsid w:val="001748DB"/>
    <w:rsid w:val="001769E3"/>
    <w:rsid w:val="001806A4"/>
    <w:rsid w:val="00180A60"/>
    <w:rsid w:val="0018405C"/>
    <w:rsid w:val="00187FC6"/>
    <w:rsid w:val="001A281A"/>
    <w:rsid w:val="001A310D"/>
    <w:rsid w:val="001A46F8"/>
    <w:rsid w:val="001B24C0"/>
    <w:rsid w:val="001B6731"/>
    <w:rsid w:val="001B7B52"/>
    <w:rsid w:val="001C348F"/>
    <w:rsid w:val="001C4471"/>
    <w:rsid w:val="001C52CF"/>
    <w:rsid w:val="001E64DA"/>
    <w:rsid w:val="0020734A"/>
    <w:rsid w:val="00211259"/>
    <w:rsid w:val="002113AB"/>
    <w:rsid w:val="00227CFF"/>
    <w:rsid w:val="00227D99"/>
    <w:rsid w:val="00245CCC"/>
    <w:rsid w:val="00250D30"/>
    <w:rsid w:val="00254328"/>
    <w:rsid w:val="00256834"/>
    <w:rsid w:val="00257566"/>
    <w:rsid w:val="002609EF"/>
    <w:rsid w:val="002704AC"/>
    <w:rsid w:val="00277948"/>
    <w:rsid w:val="00285573"/>
    <w:rsid w:val="00295F7E"/>
    <w:rsid w:val="002A7D97"/>
    <w:rsid w:val="002B10EC"/>
    <w:rsid w:val="002B2FA9"/>
    <w:rsid w:val="002B60F2"/>
    <w:rsid w:val="002B67D1"/>
    <w:rsid w:val="002B717C"/>
    <w:rsid w:val="002B7EAA"/>
    <w:rsid w:val="002C169F"/>
    <w:rsid w:val="002C651B"/>
    <w:rsid w:val="002E2682"/>
    <w:rsid w:val="002E5ACF"/>
    <w:rsid w:val="003044D5"/>
    <w:rsid w:val="00316065"/>
    <w:rsid w:val="00317077"/>
    <w:rsid w:val="003256C0"/>
    <w:rsid w:val="00335DAA"/>
    <w:rsid w:val="0034509E"/>
    <w:rsid w:val="0034655B"/>
    <w:rsid w:val="00353349"/>
    <w:rsid w:val="00377870"/>
    <w:rsid w:val="003800FE"/>
    <w:rsid w:val="00380565"/>
    <w:rsid w:val="003817B3"/>
    <w:rsid w:val="00386F06"/>
    <w:rsid w:val="00391149"/>
    <w:rsid w:val="0039530A"/>
    <w:rsid w:val="003B2686"/>
    <w:rsid w:val="003C2E66"/>
    <w:rsid w:val="003C3A16"/>
    <w:rsid w:val="003D4409"/>
    <w:rsid w:val="003D657A"/>
    <w:rsid w:val="003D69DB"/>
    <w:rsid w:val="003E073B"/>
    <w:rsid w:val="003F1B30"/>
    <w:rsid w:val="003F6D1D"/>
    <w:rsid w:val="00400085"/>
    <w:rsid w:val="00400C0C"/>
    <w:rsid w:val="00405ED0"/>
    <w:rsid w:val="004116FB"/>
    <w:rsid w:val="00411C27"/>
    <w:rsid w:val="004159AA"/>
    <w:rsid w:val="00424CFD"/>
    <w:rsid w:val="004300BF"/>
    <w:rsid w:val="004329B6"/>
    <w:rsid w:val="00437F9D"/>
    <w:rsid w:val="00440C13"/>
    <w:rsid w:val="004417C8"/>
    <w:rsid w:val="00455102"/>
    <w:rsid w:val="00470406"/>
    <w:rsid w:val="00471A16"/>
    <w:rsid w:val="00480E6E"/>
    <w:rsid w:val="00484A41"/>
    <w:rsid w:val="00486604"/>
    <w:rsid w:val="00487F4D"/>
    <w:rsid w:val="004A1F0F"/>
    <w:rsid w:val="004A6314"/>
    <w:rsid w:val="004B1D23"/>
    <w:rsid w:val="004B6870"/>
    <w:rsid w:val="004D1CD6"/>
    <w:rsid w:val="004D38C8"/>
    <w:rsid w:val="004E1EE9"/>
    <w:rsid w:val="004E39AE"/>
    <w:rsid w:val="004E4298"/>
    <w:rsid w:val="004E4881"/>
    <w:rsid w:val="004E697D"/>
    <w:rsid w:val="005033E7"/>
    <w:rsid w:val="00517069"/>
    <w:rsid w:val="00520016"/>
    <w:rsid w:val="00521162"/>
    <w:rsid w:val="00524C31"/>
    <w:rsid w:val="00531492"/>
    <w:rsid w:val="00532634"/>
    <w:rsid w:val="00534489"/>
    <w:rsid w:val="0053675C"/>
    <w:rsid w:val="00564808"/>
    <w:rsid w:val="00565A71"/>
    <w:rsid w:val="005753E7"/>
    <w:rsid w:val="00576F00"/>
    <w:rsid w:val="005855E7"/>
    <w:rsid w:val="00585E0E"/>
    <w:rsid w:val="00590C0B"/>
    <w:rsid w:val="005916FB"/>
    <w:rsid w:val="00591DE5"/>
    <w:rsid w:val="00592C1E"/>
    <w:rsid w:val="005A7D10"/>
    <w:rsid w:val="005B411C"/>
    <w:rsid w:val="005B5512"/>
    <w:rsid w:val="005B638B"/>
    <w:rsid w:val="005B7194"/>
    <w:rsid w:val="005C0D8B"/>
    <w:rsid w:val="005C19F1"/>
    <w:rsid w:val="005D4393"/>
    <w:rsid w:val="005E1072"/>
    <w:rsid w:val="005E3B34"/>
    <w:rsid w:val="005E6ED0"/>
    <w:rsid w:val="005E75CE"/>
    <w:rsid w:val="005F3BA3"/>
    <w:rsid w:val="00601B45"/>
    <w:rsid w:val="006111D8"/>
    <w:rsid w:val="00615490"/>
    <w:rsid w:val="0062237D"/>
    <w:rsid w:val="00623D36"/>
    <w:rsid w:val="00627A22"/>
    <w:rsid w:val="006310DC"/>
    <w:rsid w:val="00631BB3"/>
    <w:rsid w:val="006467C3"/>
    <w:rsid w:val="00646F23"/>
    <w:rsid w:val="00647583"/>
    <w:rsid w:val="0065169C"/>
    <w:rsid w:val="0065624E"/>
    <w:rsid w:val="00674360"/>
    <w:rsid w:val="006779F4"/>
    <w:rsid w:val="00680FD4"/>
    <w:rsid w:val="00682A1E"/>
    <w:rsid w:val="00682DD2"/>
    <w:rsid w:val="00683002"/>
    <w:rsid w:val="00684522"/>
    <w:rsid w:val="006909F0"/>
    <w:rsid w:val="00690E78"/>
    <w:rsid w:val="00695F96"/>
    <w:rsid w:val="006A7C97"/>
    <w:rsid w:val="006B6BCA"/>
    <w:rsid w:val="006B7B1D"/>
    <w:rsid w:val="006D2AC0"/>
    <w:rsid w:val="006E4660"/>
    <w:rsid w:val="006E5FB7"/>
    <w:rsid w:val="0070265A"/>
    <w:rsid w:val="007032E0"/>
    <w:rsid w:val="00705ECE"/>
    <w:rsid w:val="00712B18"/>
    <w:rsid w:val="00713C88"/>
    <w:rsid w:val="0071422C"/>
    <w:rsid w:val="00716106"/>
    <w:rsid w:val="0071630E"/>
    <w:rsid w:val="00717ADE"/>
    <w:rsid w:val="00735C51"/>
    <w:rsid w:val="00745634"/>
    <w:rsid w:val="00747A72"/>
    <w:rsid w:val="00760388"/>
    <w:rsid w:val="00770B6A"/>
    <w:rsid w:val="00772422"/>
    <w:rsid w:val="0077691F"/>
    <w:rsid w:val="00776AB3"/>
    <w:rsid w:val="00776F6D"/>
    <w:rsid w:val="00780B07"/>
    <w:rsid w:val="007849D6"/>
    <w:rsid w:val="00793022"/>
    <w:rsid w:val="0079304A"/>
    <w:rsid w:val="00797225"/>
    <w:rsid w:val="007A4ED0"/>
    <w:rsid w:val="007D100C"/>
    <w:rsid w:val="007D62D6"/>
    <w:rsid w:val="007D7BF4"/>
    <w:rsid w:val="007E758C"/>
    <w:rsid w:val="00802D53"/>
    <w:rsid w:val="008155AC"/>
    <w:rsid w:val="00835A3C"/>
    <w:rsid w:val="00840BCA"/>
    <w:rsid w:val="00843C96"/>
    <w:rsid w:val="00845E4F"/>
    <w:rsid w:val="0085448B"/>
    <w:rsid w:val="008734D3"/>
    <w:rsid w:val="00875786"/>
    <w:rsid w:val="00892983"/>
    <w:rsid w:val="00896398"/>
    <w:rsid w:val="008A3E4B"/>
    <w:rsid w:val="008A6D1F"/>
    <w:rsid w:val="008B64A3"/>
    <w:rsid w:val="008B71A1"/>
    <w:rsid w:val="008B72A7"/>
    <w:rsid w:val="008D0AAD"/>
    <w:rsid w:val="008D1F0E"/>
    <w:rsid w:val="008D5AD3"/>
    <w:rsid w:val="008D6B7D"/>
    <w:rsid w:val="008E0C23"/>
    <w:rsid w:val="008E4D48"/>
    <w:rsid w:val="008E79F2"/>
    <w:rsid w:val="008F6F0C"/>
    <w:rsid w:val="00913B26"/>
    <w:rsid w:val="0092256C"/>
    <w:rsid w:val="00922B12"/>
    <w:rsid w:val="0092644F"/>
    <w:rsid w:val="0094321B"/>
    <w:rsid w:val="009620EB"/>
    <w:rsid w:val="00970B0C"/>
    <w:rsid w:val="00972497"/>
    <w:rsid w:val="00975DC7"/>
    <w:rsid w:val="0097621F"/>
    <w:rsid w:val="00976B56"/>
    <w:rsid w:val="009824AC"/>
    <w:rsid w:val="0098508D"/>
    <w:rsid w:val="00993E8E"/>
    <w:rsid w:val="009A0264"/>
    <w:rsid w:val="009A7663"/>
    <w:rsid w:val="009B0A01"/>
    <w:rsid w:val="009B5B3B"/>
    <w:rsid w:val="009C1576"/>
    <w:rsid w:val="009C15CF"/>
    <w:rsid w:val="009C52CB"/>
    <w:rsid w:val="009C57AC"/>
    <w:rsid w:val="009C79CE"/>
    <w:rsid w:val="009D4230"/>
    <w:rsid w:val="009E4F9F"/>
    <w:rsid w:val="00A10827"/>
    <w:rsid w:val="00A214AF"/>
    <w:rsid w:val="00A279D6"/>
    <w:rsid w:val="00A33591"/>
    <w:rsid w:val="00A517B2"/>
    <w:rsid w:val="00A6081A"/>
    <w:rsid w:val="00A622FC"/>
    <w:rsid w:val="00A81885"/>
    <w:rsid w:val="00A87287"/>
    <w:rsid w:val="00AA0BDC"/>
    <w:rsid w:val="00AA66EC"/>
    <w:rsid w:val="00AB0874"/>
    <w:rsid w:val="00AC657F"/>
    <w:rsid w:val="00AD2A14"/>
    <w:rsid w:val="00AE4FD6"/>
    <w:rsid w:val="00AF75D2"/>
    <w:rsid w:val="00B065DD"/>
    <w:rsid w:val="00B07CCE"/>
    <w:rsid w:val="00B26A19"/>
    <w:rsid w:val="00B270B1"/>
    <w:rsid w:val="00B31677"/>
    <w:rsid w:val="00B3236B"/>
    <w:rsid w:val="00B3621D"/>
    <w:rsid w:val="00B43498"/>
    <w:rsid w:val="00B4438C"/>
    <w:rsid w:val="00B46EDC"/>
    <w:rsid w:val="00B81C1F"/>
    <w:rsid w:val="00B91C5F"/>
    <w:rsid w:val="00B97909"/>
    <w:rsid w:val="00BB7F14"/>
    <w:rsid w:val="00BE0EF4"/>
    <w:rsid w:val="00BE34BB"/>
    <w:rsid w:val="00BE7A1E"/>
    <w:rsid w:val="00BF2701"/>
    <w:rsid w:val="00BF3696"/>
    <w:rsid w:val="00BF5720"/>
    <w:rsid w:val="00BF6E36"/>
    <w:rsid w:val="00C0130A"/>
    <w:rsid w:val="00C11426"/>
    <w:rsid w:val="00C14608"/>
    <w:rsid w:val="00C147ED"/>
    <w:rsid w:val="00C1782B"/>
    <w:rsid w:val="00C23A7E"/>
    <w:rsid w:val="00C44EBD"/>
    <w:rsid w:val="00C52129"/>
    <w:rsid w:val="00C55EC1"/>
    <w:rsid w:val="00C56EEB"/>
    <w:rsid w:val="00C601BE"/>
    <w:rsid w:val="00C60B6C"/>
    <w:rsid w:val="00C63AD4"/>
    <w:rsid w:val="00C65D4D"/>
    <w:rsid w:val="00C70222"/>
    <w:rsid w:val="00C74C2F"/>
    <w:rsid w:val="00C8087B"/>
    <w:rsid w:val="00C82356"/>
    <w:rsid w:val="00C83AAE"/>
    <w:rsid w:val="00C84CDC"/>
    <w:rsid w:val="00C93F17"/>
    <w:rsid w:val="00CA5D60"/>
    <w:rsid w:val="00CA6EA8"/>
    <w:rsid w:val="00CB5BA2"/>
    <w:rsid w:val="00CC0BCF"/>
    <w:rsid w:val="00CC57F1"/>
    <w:rsid w:val="00CC69A0"/>
    <w:rsid w:val="00CC720D"/>
    <w:rsid w:val="00CD31A0"/>
    <w:rsid w:val="00CE120C"/>
    <w:rsid w:val="00CF3FFA"/>
    <w:rsid w:val="00D03D29"/>
    <w:rsid w:val="00D048DE"/>
    <w:rsid w:val="00D149B7"/>
    <w:rsid w:val="00D25ECF"/>
    <w:rsid w:val="00D45DF7"/>
    <w:rsid w:val="00D45F62"/>
    <w:rsid w:val="00D4754C"/>
    <w:rsid w:val="00D644CA"/>
    <w:rsid w:val="00D72414"/>
    <w:rsid w:val="00D916FF"/>
    <w:rsid w:val="00D967E3"/>
    <w:rsid w:val="00DA79A2"/>
    <w:rsid w:val="00DB518B"/>
    <w:rsid w:val="00DB710C"/>
    <w:rsid w:val="00DC2900"/>
    <w:rsid w:val="00DE6A3D"/>
    <w:rsid w:val="00DF61F8"/>
    <w:rsid w:val="00E02800"/>
    <w:rsid w:val="00E054DF"/>
    <w:rsid w:val="00E05528"/>
    <w:rsid w:val="00E36AAE"/>
    <w:rsid w:val="00E36EAD"/>
    <w:rsid w:val="00E40319"/>
    <w:rsid w:val="00E4121D"/>
    <w:rsid w:val="00E41DA0"/>
    <w:rsid w:val="00E47AFB"/>
    <w:rsid w:val="00E534DA"/>
    <w:rsid w:val="00E56A69"/>
    <w:rsid w:val="00E72617"/>
    <w:rsid w:val="00E74389"/>
    <w:rsid w:val="00E83B63"/>
    <w:rsid w:val="00E83D3F"/>
    <w:rsid w:val="00EA2605"/>
    <w:rsid w:val="00EA34BF"/>
    <w:rsid w:val="00EA35B9"/>
    <w:rsid w:val="00EA6A4F"/>
    <w:rsid w:val="00EA6DFB"/>
    <w:rsid w:val="00EB0CC5"/>
    <w:rsid w:val="00EB1F7A"/>
    <w:rsid w:val="00EC09E3"/>
    <w:rsid w:val="00EC09F8"/>
    <w:rsid w:val="00EC7AB1"/>
    <w:rsid w:val="00ED7341"/>
    <w:rsid w:val="00EF282D"/>
    <w:rsid w:val="00EF502D"/>
    <w:rsid w:val="00F00DE4"/>
    <w:rsid w:val="00F01C3B"/>
    <w:rsid w:val="00F06D85"/>
    <w:rsid w:val="00F11E23"/>
    <w:rsid w:val="00F17B66"/>
    <w:rsid w:val="00F17F4D"/>
    <w:rsid w:val="00F237FB"/>
    <w:rsid w:val="00F4625C"/>
    <w:rsid w:val="00F554C5"/>
    <w:rsid w:val="00F7185C"/>
    <w:rsid w:val="00F721DD"/>
    <w:rsid w:val="00F72E11"/>
    <w:rsid w:val="00F84775"/>
    <w:rsid w:val="00F924D9"/>
    <w:rsid w:val="00FA3C70"/>
    <w:rsid w:val="00FA67F2"/>
    <w:rsid w:val="00FC2AC8"/>
    <w:rsid w:val="00FC2FF7"/>
    <w:rsid w:val="00FD25C7"/>
    <w:rsid w:val="00FD54CE"/>
    <w:rsid w:val="00FE03FC"/>
    <w:rsid w:val="00FE0870"/>
    <w:rsid w:val="00FE6E92"/>
    <w:rsid w:val="07D653C6"/>
    <w:rsid w:val="07E37AE3"/>
    <w:rsid w:val="0801518E"/>
    <w:rsid w:val="09CD1FA8"/>
    <w:rsid w:val="0A5B1BB3"/>
    <w:rsid w:val="0DDB0FB3"/>
    <w:rsid w:val="0F704352"/>
    <w:rsid w:val="16243567"/>
    <w:rsid w:val="17FF3602"/>
    <w:rsid w:val="1B584EB1"/>
    <w:rsid w:val="1E4F4F27"/>
    <w:rsid w:val="21C15523"/>
    <w:rsid w:val="23A960CD"/>
    <w:rsid w:val="260E4B3F"/>
    <w:rsid w:val="27FA4E1B"/>
    <w:rsid w:val="28E52A26"/>
    <w:rsid w:val="29C849DC"/>
    <w:rsid w:val="2C602892"/>
    <w:rsid w:val="2D1F703A"/>
    <w:rsid w:val="2F3565C7"/>
    <w:rsid w:val="30106C4C"/>
    <w:rsid w:val="32632244"/>
    <w:rsid w:val="350974A9"/>
    <w:rsid w:val="38165232"/>
    <w:rsid w:val="385D37E7"/>
    <w:rsid w:val="3AAB3F75"/>
    <w:rsid w:val="3CC01321"/>
    <w:rsid w:val="3DCC1255"/>
    <w:rsid w:val="400D7CBF"/>
    <w:rsid w:val="419E0415"/>
    <w:rsid w:val="42E63E9C"/>
    <w:rsid w:val="450920D6"/>
    <w:rsid w:val="479A1EBA"/>
    <w:rsid w:val="481E025A"/>
    <w:rsid w:val="48397FF0"/>
    <w:rsid w:val="48CE0907"/>
    <w:rsid w:val="49106EEF"/>
    <w:rsid w:val="49B0038F"/>
    <w:rsid w:val="4CA4642D"/>
    <w:rsid w:val="4F4806CE"/>
    <w:rsid w:val="50152F59"/>
    <w:rsid w:val="514D39DD"/>
    <w:rsid w:val="52907C8A"/>
    <w:rsid w:val="571F3122"/>
    <w:rsid w:val="591733E7"/>
    <w:rsid w:val="59634100"/>
    <w:rsid w:val="5A796FC8"/>
    <w:rsid w:val="5AED1E56"/>
    <w:rsid w:val="5BDD706F"/>
    <w:rsid w:val="62C151E0"/>
    <w:rsid w:val="636779B0"/>
    <w:rsid w:val="64720380"/>
    <w:rsid w:val="65993564"/>
    <w:rsid w:val="66BF5937"/>
    <w:rsid w:val="6AE91483"/>
    <w:rsid w:val="6F1E5FB8"/>
    <w:rsid w:val="719F6CF1"/>
    <w:rsid w:val="741070C0"/>
    <w:rsid w:val="74373814"/>
    <w:rsid w:val="76A21A9E"/>
    <w:rsid w:val="780E3485"/>
    <w:rsid w:val="783C589D"/>
    <w:rsid w:val="7B0855B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0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0" w:name="Body Text"/>
    <w:lsdException w:qFormat="1" w:uiPriority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0" w:name="Date"/>
    <w:lsdException w:qFormat="1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iPriority="0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26"/>
    <w:semiHidden/>
    <w:unhideWhenUsed/>
    <w:qFormat/>
    <w:uiPriority w:val="0"/>
    <w:pPr>
      <w:keepNext/>
      <w:keepLines/>
      <w:spacing w:before="260" w:after="260" w:line="415" w:lineRule="auto"/>
      <w:outlineLvl w:val="1"/>
    </w:pPr>
    <w:rPr>
      <w:rFonts w:ascii="Cambria" w:hAnsi="Cambria" w:eastAsia="宋体" w:cs="宋体"/>
      <w:b/>
      <w:bCs/>
      <w:sz w:val="32"/>
      <w:szCs w:val="32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47"/>
    <w:semiHidden/>
    <w:unhideWhenUsed/>
    <w:qFormat/>
    <w:uiPriority w:val="0"/>
    <w:pPr>
      <w:jc w:val="left"/>
    </w:pPr>
    <w:rPr>
      <w:rFonts w:ascii="Times New Roman" w:hAnsi="Times New Roman" w:eastAsia="宋体" w:cs="Times New Roman"/>
      <w:sz w:val="28"/>
      <w:szCs w:val="24"/>
    </w:rPr>
  </w:style>
  <w:style w:type="paragraph" w:styleId="5">
    <w:name w:val="Body Text"/>
    <w:basedOn w:val="1"/>
    <w:link w:val="28"/>
    <w:semiHidden/>
    <w:unhideWhenUsed/>
    <w:qFormat/>
    <w:uiPriority w:val="0"/>
    <w:pPr>
      <w:spacing w:after="120"/>
    </w:pPr>
    <w:rPr>
      <w:rFonts w:ascii="Times New Roman" w:hAnsi="Times New Roman" w:eastAsia="宋体" w:cs="Times New Roman"/>
      <w:sz w:val="28"/>
      <w:szCs w:val="24"/>
    </w:rPr>
  </w:style>
  <w:style w:type="paragraph" w:styleId="6">
    <w:name w:val="Body Text Indent"/>
    <w:basedOn w:val="1"/>
    <w:link w:val="29"/>
    <w:semiHidden/>
    <w:unhideWhenUsed/>
    <w:qFormat/>
    <w:uiPriority w:val="0"/>
    <w:pPr>
      <w:ind w:left="495"/>
    </w:pPr>
    <w:rPr>
      <w:rFonts w:ascii="宋体" w:hAnsi="宋体" w:eastAsia="宋体" w:cs="Times New Roman"/>
      <w:sz w:val="28"/>
      <w:szCs w:val="28"/>
      <w:u w:val="single" w:color="FFFFFF"/>
    </w:rPr>
  </w:style>
  <w:style w:type="paragraph" w:styleId="7">
    <w:name w:val="Plain Text"/>
    <w:basedOn w:val="1"/>
    <w:link w:val="33"/>
    <w:semiHidden/>
    <w:unhideWhenUsed/>
    <w:qFormat/>
    <w:uiPriority w:val="0"/>
    <w:rPr>
      <w:rFonts w:ascii="宋体" w:hAnsi="Courier New" w:eastAsia="宋体" w:cs="Times New Roman"/>
      <w:szCs w:val="20"/>
    </w:rPr>
  </w:style>
  <w:style w:type="paragraph" w:styleId="8">
    <w:name w:val="Date"/>
    <w:basedOn w:val="1"/>
    <w:next w:val="1"/>
    <w:link w:val="30"/>
    <w:semiHidden/>
    <w:unhideWhenUsed/>
    <w:qFormat/>
    <w:uiPriority w:val="0"/>
    <w:pPr>
      <w:ind w:left="100" w:leftChars="2500"/>
    </w:pPr>
    <w:rPr>
      <w:rFonts w:ascii="宋体" w:hAnsi="宋体" w:eastAsia="宋体" w:cs="Times New Roman"/>
      <w:sz w:val="28"/>
      <w:szCs w:val="28"/>
      <w:u w:val="single" w:color="FFFFFF"/>
    </w:rPr>
  </w:style>
  <w:style w:type="paragraph" w:styleId="9">
    <w:name w:val="Body Text Indent 2"/>
    <w:basedOn w:val="1"/>
    <w:link w:val="32"/>
    <w:semiHidden/>
    <w:unhideWhenUsed/>
    <w:qFormat/>
    <w:uiPriority w:val="0"/>
    <w:pPr>
      <w:spacing w:line="540" w:lineRule="atLeast"/>
      <w:ind w:firstLine="577" w:firstLineChars="206"/>
    </w:pPr>
    <w:rPr>
      <w:rFonts w:ascii="宋体" w:hAnsi="宋体" w:eastAsia="宋体" w:cs="Times New Roman"/>
      <w:sz w:val="28"/>
      <w:szCs w:val="28"/>
    </w:rPr>
  </w:style>
  <w:style w:type="paragraph" w:styleId="10">
    <w:name w:val="Balloon Text"/>
    <w:basedOn w:val="1"/>
    <w:link w:val="24"/>
    <w:semiHidden/>
    <w:unhideWhenUsed/>
    <w:qFormat/>
    <w:uiPriority w:val="0"/>
    <w:rPr>
      <w:sz w:val="18"/>
      <w:szCs w:val="18"/>
    </w:rPr>
  </w:style>
  <w:style w:type="paragraph" w:styleId="11">
    <w:name w:val="footer"/>
    <w:basedOn w:val="1"/>
    <w:link w:val="20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annotation subject"/>
    <w:basedOn w:val="4"/>
    <w:next w:val="4"/>
    <w:link w:val="34"/>
    <w:semiHidden/>
    <w:unhideWhenUsed/>
    <w:qFormat/>
    <w:uiPriority w:val="0"/>
    <w:rPr>
      <w:b/>
      <w:bCs/>
    </w:rPr>
  </w:style>
  <w:style w:type="paragraph" w:styleId="14">
    <w:name w:val="Body Text First Indent"/>
    <w:basedOn w:val="5"/>
    <w:link w:val="31"/>
    <w:unhideWhenUsed/>
    <w:qFormat/>
    <w:uiPriority w:val="0"/>
    <w:pPr>
      <w:ind w:firstLine="420" w:firstLineChars="100"/>
    </w:pPr>
    <w:rPr>
      <w:sz w:val="21"/>
    </w:rPr>
  </w:style>
  <w:style w:type="table" w:styleId="16">
    <w:name w:val="Table Grid"/>
    <w:basedOn w:val="15"/>
    <w:qFormat/>
    <w:uiPriority w:val="0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annotation reference"/>
    <w:semiHidden/>
    <w:unhideWhenUsed/>
    <w:qFormat/>
    <w:uiPriority w:val="0"/>
    <w:rPr>
      <w:sz w:val="21"/>
      <w:szCs w:val="21"/>
    </w:rPr>
  </w:style>
  <w:style w:type="character" w:customStyle="1" w:styleId="19">
    <w:name w:val="页眉 Char"/>
    <w:basedOn w:val="17"/>
    <w:link w:val="12"/>
    <w:qFormat/>
    <w:uiPriority w:val="99"/>
    <w:rPr>
      <w:sz w:val="18"/>
      <w:szCs w:val="18"/>
    </w:rPr>
  </w:style>
  <w:style w:type="character" w:customStyle="1" w:styleId="20">
    <w:name w:val="页脚 Char"/>
    <w:basedOn w:val="17"/>
    <w:link w:val="11"/>
    <w:qFormat/>
    <w:uiPriority w:val="0"/>
    <w:rPr>
      <w:sz w:val="18"/>
      <w:szCs w:val="18"/>
    </w:rPr>
  </w:style>
  <w:style w:type="character" w:customStyle="1" w:styleId="21">
    <w:name w:val="表内容 Char"/>
    <w:link w:val="22"/>
    <w:qFormat/>
    <w:uiPriority w:val="0"/>
    <w:rPr>
      <w:snapToGrid w:val="0"/>
      <w:szCs w:val="21"/>
    </w:rPr>
  </w:style>
  <w:style w:type="paragraph" w:customStyle="1" w:styleId="22">
    <w:name w:val="表内容"/>
    <w:basedOn w:val="1"/>
    <w:link w:val="21"/>
    <w:qFormat/>
    <w:uiPriority w:val="0"/>
    <w:pPr>
      <w:adjustRightInd w:val="0"/>
      <w:snapToGrid w:val="0"/>
      <w:spacing w:line="0" w:lineRule="atLeast"/>
      <w:jc w:val="center"/>
    </w:pPr>
    <w:rPr>
      <w:snapToGrid w:val="0"/>
      <w:szCs w:val="21"/>
    </w:rPr>
  </w:style>
  <w:style w:type="table" w:customStyle="1" w:styleId="23">
    <w:name w:val="00000000"/>
    <w:basedOn w:val="15"/>
    <w:qFormat/>
    <w:uiPriority w:val="99"/>
    <w:pPr>
      <w:jc w:val="center"/>
    </w:pPr>
    <w:rPr>
      <w:rFonts w:ascii="Times New Roman" w:hAnsi="Times New Roman" w:eastAsia="宋体"/>
    </w:rPr>
    <w:tblPr>
      <w:jc w:val="center"/>
      <w:tblBorders>
        <w:top w:val="thinThickSmallGap" w:color="auto" w:sz="12" w:space="0"/>
        <w:bottom w:val="thickThinSmallGap" w:color="auto" w:sz="12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tcPr>
        <w:tcBorders>
          <w:top w:val="double" w:color="auto" w:sz="4" w:space="0"/>
        </w:tcBorders>
      </w:tcPr>
    </w:tblStylePr>
    <w:tblStylePr w:type="lastRow">
      <w:tcPr>
        <w:tcBorders>
          <w:bottom w:val="double" w:color="auto" w:sz="4" w:space="0"/>
        </w:tcBorders>
      </w:tcPr>
    </w:tblStylePr>
  </w:style>
  <w:style w:type="character" w:customStyle="1" w:styleId="24">
    <w:name w:val="批注框文本 Char"/>
    <w:basedOn w:val="17"/>
    <w:link w:val="10"/>
    <w:semiHidden/>
    <w:qFormat/>
    <w:uiPriority w:val="0"/>
    <w:rPr>
      <w:sz w:val="18"/>
      <w:szCs w:val="18"/>
    </w:rPr>
  </w:style>
  <w:style w:type="character" w:customStyle="1" w:styleId="25">
    <w:name w:val="标题 1 Char"/>
    <w:basedOn w:val="17"/>
    <w:link w:val="2"/>
    <w:qFormat/>
    <w:uiPriority w:val="0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26">
    <w:name w:val="标题 2 Char"/>
    <w:basedOn w:val="17"/>
    <w:link w:val="3"/>
    <w:semiHidden/>
    <w:qFormat/>
    <w:uiPriority w:val="0"/>
    <w:rPr>
      <w:rFonts w:ascii="Cambria" w:hAnsi="Cambria" w:eastAsia="宋体" w:cs="宋体"/>
      <w:b/>
      <w:bCs/>
      <w:sz w:val="32"/>
      <w:szCs w:val="32"/>
    </w:rPr>
  </w:style>
  <w:style w:type="character" w:customStyle="1" w:styleId="27">
    <w:name w:val="批注文字 Char"/>
    <w:basedOn w:val="17"/>
    <w:semiHidden/>
    <w:qFormat/>
    <w:uiPriority w:val="0"/>
  </w:style>
  <w:style w:type="character" w:customStyle="1" w:styleId="28">
    <w:name w:val="正文文本 Char"/>
    <w:basedOn w:val="17"/>
    <w:link w:val="5"/>
    <w:semiHidden/>
    <w:qFormat/>
    <w:uiPriority w:val="0"/>
    <w:rPr>
      <w:rFonts w:ascii="Times New Roman" w:hAnsi="Times New Roman" w:eastAsia="宋体" w:cs="Times New Roman"/>
      <w:sz w:val="28"/>
      <w:szCs w:val="24"/>
    </w:rPr>
  </w:style>
  <w:style w:type="character" w:customStyle="1" w:styleId="29">
    <w:name w:val="正文文本缩进 Char"/>
    <w:basedOn w:val="17"/>
    <w:link w:val="6"/>
    <w:semiHidden/>
    <w:qFormat/>
    <w:uiPriority w:val="0"/>
    <w:rPr>
      <w:rFonts w:ascii="宋体" w:hAnsi="宋体" w:eastAsia="宋体" w:cs="Times New Roman"/>
      <w:sz w:val="28"/>
      <w:szCs w:val="28"/>
      <w:u w:val="single" w:color="FFFFFF"/>
    </w:rPr>
  </w:style>
  <w:style w:type="character" w:customStyle="1" w:styleId="30">
    <w:name w:val="日期 Char"/>
    <w:basedOn w:val="17"/>
    <w:link w:val="8"/>
    <w:semiHidden/>
    <w:qFormat/>
    <w:uiPriority w:val="0"/>
    <w:rPr>
      <w:rFonts w:ascii="宋体" w:hAnsi="宋体" w:eastAsia="宋体" w:cs="Times New Roman"/>
      <w:sz w:val="28"/>
      <w:szCs w:val="28"/>
      <w:u w:val="single" w:color="FFFFFF"/>
    </w:rPr>
  </w:style>
  <w:style w:type="character" w:customStyle="1" w:styleId="31">
    <w:name w:val="正文首行缩进 Char"/>
    <w:basedOn w:val="28"/>
    <w:link w:val="14"/>
    <w:qFormat/>
    <w:uiPriority w:val="0"/>
    <w:rPr>
      <w:rFonts w:ascii="Times New Roman" w:hAnsi="Times New Roman" w:eastAsia="宋体" w:cs="Times New Roman"/>
      <w:sz w:val="28"/>
      <w:szCs w:val="24"/>
    </w:rPr>
  </w:style>
  <w:style w:type="character" w:customStyle="1" w:styleId="32">
    <w:name w:val="正文文本缩进 2 Char"/>
    <w:basedOn w:val="17"/>
    <w:link w:val="9"/>
    <w:semiHidden/>
    <w:qFormat/>
    <w:uiPriority w:val="0"/>
    <w:rPr>
      <w:rFonts w:ascii="宋体" w:hAnsi="宋体" w:eastAsia="宋体" w:cs="Times New Roman"/>
      <w:sz w:val="28"/>
      <w:szCs w:val="28"/>
    </w:rPr>
  </w:style>
  <w:style w:type="character" w:customStyle="1" w:styleId="33">
    <w:name w:val="纯文本 Char"/>
    <w:basedOn w:val="17"/>
    <w:link w:val="7"/>
    <w:semiHidden/>
    <w:qFormat/>
    <w:uiPriority w:val="0"/>
    <w:rPr>
      <w:rFonts w:ascii="宋体" w:hAnsi="Courier New" w:eastAsia="宋体" w:cs="Times New Roman"/>
      <w:szCs w:val="20"/>
    </w:rPr>
  </w:style>
  <w:style w:type="character" w:customStyle="1" w:styleId="34">
    <w:name w:val="批注主题 Char"/>
    <w:basedOn w:val="27"/>
    <w:link w:val="13"/>
    <w:semiHidden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paragraph" w:customStyle="1" w:styleId="35">
    <w:name w:val="Char Char Char Char Char Char Char Char Char"/>
    <w:basedOn w:val="1"/>
    <w:qFormat/>
    <w:uiPriority w:val="0"/>
    <w:pPr>
      <w:spacing w:line="360" w:lineRule="auto"/>
      <w:ind w:firstLine="200" w:firstLineChars="200"/>
    </w:pPr>
    <w:rPr>
      <w:rFonts w:ascii="宋体" w:hAnsi="宋体" w:eastAsia="宋体" w:cs="宋体"/>
      <w:sz w:val="24"/>
      <w:szCs w:val="24"/>
    </w:rPr>
  </w:style>
  <w:style w:type="paragraph" w:customStyle="1" w:styleId="36">
    <w:name w:val="默认段落字体 Para Char"/>
    <w:basedOn w:val="1"/>
    <w:semiHidden/>
    <w:qFormat/>
    <w:uiPriority w:val="0"/>
    <w:pPr>
      <w:adjustRightInd w:val="0"/>
      <w:spacing w:line="360" w:lineRule="atLeast"/>
    </w:pPr>
    <w:rPr>
      <w:rFonts w:ascii="Times New Roman" w:hAnsi="Times New Roman" w:eastAsia="宋体" w:cs="Times New Roman"/>
      <w:szCs w:val="24"/>
    </w:rPr>
  </w:style>
  <w:style w:type="paragraph" w:customStyle="1" w:styleId="37">
    <w:name w:val="Char Char Char Char Char Char Char"/>
    <w:basedOn w:val="1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38">
    <w:name w:val="Char Char1 Char Char Char Char Char Char Char Char Char Char Char Char Char Char Char Char Char Char Char Char1 Char"/>
    <w:basedOn w:val="1"/>
    <w:qFormat/>
    <w:uiPriority w:val="0"/>
    <w:pPr>
      <w:spacing w:line="360" w:lineRule="auto"/>
      <w:ind w:firstLine="200" w:firstLineChars="200"/>
    </w:pPr>
    <w:rPr>
      <w:rFonts w:ascii="宋体" w:hAnsi="宋体" w:eastAsia="宋体" w:cs="宋体"/>
      <w:sz w:val="24"/>
      <w:szCs w:val="24"/>
    </w:rPr>
  </w:style>
  <w:style w:type="paragraph" w:customStyle="1" w:styleId="39">
    <w:name w:val="默认段落字体 Para Char Char Char Char"/>
    <w:basedOn w:val="1"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40">
    <w:name w:val="Char Char Char Char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szCs w:val="24"/>
      <w:lang w:eastAsia="en-US"/>
    </w:rPr>
  </w:style>
  <w:style w:type="paragraph" w:customStyle="1" w:styleId="41">
    <w:name w:val="1 Char Char Char Char Char Char Char"/>
    <w:basedOn w:val="1"/>
    <w:qFormat/>
    <w:uiPriority w:val="0"/>
    <w:pPr>
      <w:spacing w:line="360" w:lineRule="auto"/>
      <w:ind w:firstLine="200" w:firstLineChars="200"/>
    </w:pPr>
    <w:rPr>
      <w:rFonts w:ascii="Times New Roman" w:hAnsi="Times New Roman" w:eastAsia="宋体" w:cs="Times New Roman"/>
      <w:sz w:val="24"/>
      <w:szCs w:val="21"/>
    </w:rPr>
  </w:style>
  <w:style w:type="character" w:customStyle="1" w:styleId="42">
    <w:name w:val="font11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43">
    <w:name w:val="font01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44">
    <w:name w:val="纯文本 Char1"/>
    <w:basedOn w:val="17"/>
    <w:semiHidden/>
    <w:qFormat/>
    <w:uiPriority w:val="99"/>
    <w:rPr>
      <w:rFonts w:hint="eastAsia" w:ascii="宋体" w:hAnsi="Courier New" w:eastAsia="宋体" w:cs="Courier New"/>
      <w:kern w:val="2"/>
      <w:sz w:val="21"/>
      <w:szCs w:val="21"/>
    </w:rPr>
  </w:style>
  <w:style w:type="character" w:customStyle="1" w:styleId="45">
    <w:name w:val="页脚 Char1"/>
    <w:basedOn w:val="17"/>
    <w:semiHidden/>
    <w:qFormat/>
    <w:uiPriority w:val="99"/>
    <w:rPr>
      <w:kern w:val="2"/>
      <w:sz w:val="18"/>
      <w:szCs w:val="18"/>
    </w:rPr>
  </w:style>
  <w:style w:type="character" w:customStyle="1" w:styleId="46">
    <w:name w:val="页眉 Char1"/>
    <w:basedOn w:val="17"/>
    <w:semiHidden/>
    <w:qFormat/>
    <w:uiPriority w:val="99"/>
    <w:rPr>
      <w:kern w:val="2"/>
      <w:sz w:val="18"/>
      <w:szCs w:val="18"/>
    </w:rPr>
  </w:style>
  <w:style w:type="character" w:customStyle="1" w:styleId="47">
    <w:name w:val="批注文字 Char1"/>
    <w:basedOn w:val="17"/>
    <w:link w:val="4"/>
    <w:semiHidden/>
    <w:qFormat/>
    <w:locked/>
    <w:uiPriority w:val="0"/>
    <w:rPr>
      <w:rFonts w:ascii="Times New Roman" w:hAnsi="Times New Roman" w:eastAsia="宋体" w:cs="Times New Roman"/>
      <w:sz w:val="28"/>
      <w:szCs w:val="24"/>
    </w:rPr>
  </w:style>
  <w:style w:type="character" w:customStyle="1" w:styleId="48">
    <w:name w:val="批注主题 Char1"/>
    <w:basedOn w:val="47"/>
    <w:semiHidden/>
    <w:qFormat/>
    <w:uiPriority w:val="99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49">
    <w:name w:val="正文文本 Char1"/>
    <w:basedOn w:val="17"/>
    <w:semiHidden/>
    <w:qFormat/>
    <w:uiPriority w:val="99"/>
    <w:rPr>
      <w:kern w:val="2"/>
      <w:sz w:val="28"/>
      <w:szCs w:val="24"/>
    </w:rPr>
  </w:style>
  <w:style w:type="character" w:customStyle="1" w:styleId="50">
    <w:name w:val="正文首行缩进 Char1"/>
    <w:basedOn w:val="49"/>
    <w:semiHidden/>
    <w:qFormat/>
    <w:uiPriority w:val="99"/>
    <w:rPr>
      <w:kern w:val="2"/>
      <w:sz w:val="28"/>
      <w:szCs w:val="24"/>
    </w:rPr>
  </w:style>
  <w:style w:type="paragraph" w:styleId="51">
    <w:name w:val="List Paragraph"/>
    <w:basedOn w:val="1"/>
    <w:qFormat/>
    <w:uiPriority w:val="34"/>
    <w:pPr>
      <w:ind w:firstLine="420" w:firstLineChars="200"/>
    </w:pPr>
  </w:style>
  <w:style w:type="paragraph" w:customStyle="1" w:styleId="52">
    <w:name w:val="正文_1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paragraph" w:customStyle="1" w:styleId="53">
    <w:name w:val="正文_15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character" w:customStyle="1" w:styleId="54">
    <w:name w:val="font31"/>
    <w:basedOn w:val="17"/>
    <w:qFormat/>
    <w:uiPriority w:val="0"/>
    <w:rPr>
      <w:rFonts w:hint="eastAsia" w:ascii="宋体" w:hAnsi="宋体" w:eastAsia="宋体" w:cs="宋体"/>
      <w:color w:val="000000"/>
      <w:sz w:val="24"/>
      <w:szCs w:val="24"/>
      <w:u w:val="single"/>
    </w:rPr>
  </w:style>
  <w:style w:type="character" w:customStyle="1" w:styleId="55">
    <w:name w:val="font41"/>
    <w:basedOn w:val="17"/>
    <w:qFormat/>
    <w:uiPriority w:val="0"/>
    <w:rPr>
      <w:rFonts w:hint="eastAsia" w:ascii="宋体" w:hAnsi="宋体" w:eastAsia="宋体" w:cs="宋体"/>
      <w:color w:val="000000"/>
      <w:sz w:val="20"/>
      <w:szCs w:val="20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C464B5-B9FC-4B9D-893F-ECAD1797DB9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14</Pages>
  <Words>4084</Words>
  <Characters>6085</Characters>
  <Lines>78</Lines>
  <Paragraphs>22</Paragraphs>
  <TotalTime>0</TotalTime>
  <ScaleCrop>false</ScaleCrop>
  <LinksUpToDate>false</LinksUpToDate>
  <CharactersWithSpaces>6202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2018-11-05T05:21:00Z</dcterms:created>
  <dc:creator>hp</dc:creator>
  <cp:lastModifiedBy>李孟哲</cp:lastModifiedBy>
  <cp:lastPrinted>2022-07-16T03:06:00Z</cp:lastPrinted>
  <dcterms:modified xsi:type="dcterms:W3CDTF">2023-01-12T03:06:55Z</dcterms:modified>
  <cp:revision>147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13BB4309302144FD8F3468F90CE62086</vt:lpwstr>
  </property>
  <property fmtid="{D5CDD505-2E9C-101B-9397-08002B2CF9AE}" pid="4" name="commondata">
    <vt:lpwstr>eyJoZGlkIjoiN2FhOTliMWE4MDg2NjJkNjM3MDBhYWUzMWJhNGM4ZjIifQ==</vt:lpwstr>
  </property>
</Properties>
</file>